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hanging="2"/>
        <w:jc w:val="center"/>
        <w:rPr>
          <w:sz w:val="22"/>
          <w:szCs w:val="22"/>
        </w:rPr>
      </w:pPr>
      <w:bookmarkStart w:id="0" w:name="_GoBack"/>
      <w:r>
        <w:rPr>
          <w:sz w:val="22"/>
          <w:szCs w:val="2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8890" b="635"/>
            <wp:wrapSquare wrapText="bothSides"/>
            <wp:docPr id="8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/>
            <wp:docPr id="8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2"/>
          <w:szCs w:val="22"/>
        </w:rPr>
        <w:t>MINISTÉRIO DA EDUCAÇÃO</w:t>
      </w:r>
    </w:p>
    <w:p>
      <w:pPr>
        <w:ind w:hanging="2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UNIVERSIDADE FEDERAL DO PIAUÍ</w:t>
      </w:r>
    </w:p>
    <w:p>
      <w:pPr>
        <w:ind w:hanging="2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PRÓ-REITORIA DE ASSUNTOS ESTUDANTIS E COMUNITÁRIOS</w:t>
      </w:r>
    </w:p>
    <w:p>
      <w:pPr>
        <w:ind w:hanging="2"/>
        <w:jc w:val="center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COORDENADORIA DE ASSISTÊNCIA COMUNITÁRIA</w:t>
      </w:r>
    </w:p>
    <w:p>
      <w:pPr>
        <w:ind w:hanging="2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NÚCLEO DE ACESSIBILIDADE DA UFPI</w:t>
      </w:r>
    </w:p>
    <w:p>
      <w:pPr>
        <w:ind w:hanging="2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Campus Universitário Ministro Petrônio Portela, Bairro Ininga, Teresina, Piauí, Brasil;</w:t>
      </w:r>
    </w:p>
    <w:p>
      <w:pPr>
        <w:ind w:hanging="2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CEP 64049-550, SG – 14; Telefones: (86) 3215 5642/3215 5645;</w:t>
      </w:r>
    </w:p>
    <w:p>
      <w:pPr>
        <w:tabs>
          <w:tab w:val="left" w:pos="0"/>
        </w:tabs>
        <w:ind w:right="20" w:hanging="2"/>
        <w:jc w:val="center"/>
        <w:rPr>
          <w:rFonts w:ascii="Times New Roman" w:hAnsi="Times New Roman" w:eastAsia="Times New Roman" w:cs="Times New Roman"/>
          <w:b/>
        </w:rPr>
      </w:pPr>
    </w:p>
    <w:p>
      <w:pPr>
        <w:tabs>
          <w:tab w:val="left" w:pos="0"/>
        </w:tabs>
        <w:ind w:right="20" w:hanging="2"/>
        <w:jc w:val="center"/>
        <w:rPr>
          <w:rFonts w:ascii="Times New Roman" w:hAnsi="Times New Roman" w:eastAsia="Times New Roman" w:cs="Times New Roman"/>
          <w:b/>
        </w:rPr>
      </w:pPr>
    </w:p>
    <w:p>
      <w:pPr>
        <w:tabs>
          <w:tab w:val="left" w:pos="0"/>
        </w:tabs>
        <w:ind w:right="20" w:hanging="2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ANEXO III</w:t>
      </w:r>
    </w:p>
    <w:p>
      <w:pPr>
        <w:tabs>
          <w:tab w:val="left" w:pos="0"/>
        </w:tabs>
        <w:ind w:right="20" w:hanging="2"/>
        <w:jc w:val="center"/>
        <w:rPr>
          <w:rFonts w:ascii="Times New Roman" w:hAnsi="Times New Roman" w:eastAsia="Times New Roman" w:cs="Times New Roman"/>
          <w:b/>
        </w:rPr>
      </w:pPr>
    </w:p>
    <w:p>
      <w:pPr>
        <w:tabs>
          <w:tab w:val="left" w:pos="0"/>
        </w:tabs>
        <w:ind w:right="20" w:hanging="2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DECLARAÇÃO DE IMÓVEL CEDIDO/ DE FAVOR</w:t>
      </w:r>
    </w:p>
    <w:p>
      <w:pPr>
        <w:tabs>
          <w:tab w:val="left" w:pos="0"/>
        </w:tabs>
        <w:spacing w:line="360" w:lineRule="auto"/>
        <w:ind w:right="20" w:hanging="2"/>
        <w:jc w:val="both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spacing w:line="360" w:lineRule="auto"/>
        <w:ind w:right="2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Eu,______________________________________________________________________________ , nacionalidade __________________________ , inscrito/a no CPF sob o nº ____________________ , residente e domiciliado à Rua/ Av. _________________________ _____________________, nº _______ , Bairro ___________________ CEP ______________________ , cidade ________________, estado _________________, declaro, junto à UNIVERSIDADE FEDERAL DO PIAUÍ, que resido em moradia cedida por ______________________________ , CPF sob o nº _______________________________ , grau de parentesco ______________________ .</w:t>
      </w:r>
    </w:p>
    <w:p>
      <w:pPr>
        <w:tabs>
          <w:tab w:val="left" w:pos="0"/>
        </w:tabs>
        <w:spacing w:line="360" w:lineRule="auto"/>
        <w:ind w:right="20" w:hanging="2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_________________________ , ______ de __________ de ________ .</w:t>
      </w:r>
    </w:p>
    <w:p>
      <w:pPr>
        <w:tabs>
          <w:tab w:val="left" w:pos="0"/>
        </w:tabs>
        <w:spacing w:line="360" w:lineRule="auto"/>
        <w:ind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                 (Local e data)</w:t>
      </w:r>
    </w:p>
    <w:p>
      <w:pPr>
        <w:tabs>
          <w:tab w:val="left" w:pos="0"/>
        </w:tabs>
        <w:spacing w:line="360" w:lineRule="auto"/>
        <w:ind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tabs>
          <w:tab w:val="left" w:pos="0"/>
        </w:tabs>
        <w:spacing w:line="360" w:lineRule="auto"/>
        <w:ind w:hanging="2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____________________________________________________________</w:t>
      </w: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Assinatura do/a declarante</w:t>
      </w: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____________________________________________________________</w:t>
      </w: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Assinatura do/a responsável pela cessão do imóvel</w:t>
      </w: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</w:t>
      </w:r>
      <w:r>
        <w:rPr>
          <w:rFonts w:ascii="Times New Roman" w:hAnsi="Times New Roman" w:eastAsia="Times New Roman" w:cs="Times New Roman"/>
          <w:b/>
          <w:sz w:val="20"/>
          <w:szCs w:val="20"/>
        </w:rPr>
        <w:tab/>
      </w:r>
    </w:p>
    <w:p>
      <w:pPr>
        <w:tabs>
          <w:tab w:val="left" w:pos="0"/>
        </w:tabs>
        <w:ind w:hanging="2"/>
      </w:pPr>
      <w:r>
        <w:rPr>
          <w:rFonts w:ascii="Times New Roman" w:hAnsi="Times New Roman" w:eastAsia="Times New Roman" w:cs="Times New Roman"/>
          <w:b/>
          <w:sz w:val="20"/>
          <w:szCs w:val="20"/>
        </w:rPr>
        <w:tab/>
      </w:r>
      <w:r>
        <w:rPr>
          <w:rFonts w:ascii="Times New Roman" w:hAnsi="Times New Roman" w:eastAsia="Times New Roman" w:cs="Times New Roman"/>
          <w:b/>
          <w:sz w:val="20"/>
          <w:szCs w:val="20"/>
        </w:rPr>
        <w:tab/>
      </w:r>
    </w:p>
    <w:sectPr>
      <w:footerReference r:id="rId3" w:type="default"/>
      <w:footerReference r:id="rId4" w:type="even"/>
      <w:pgSz w:w="11906" w:h="16838"/>
      <w:pgMar w:top="720" w:right="1134" w:bottom="1191" w:left="1701" w:header="0" w:footer="13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819"/>
        <w:tab w:val="right" w:pos="9638"/>
      </w:tabs>
      <w:jc w:val="right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fldChar w:fldCharType="begin"/>
    </w:r>
    <w:r>
      <w:rPr>
        <w:rFonts w:ascii="Times New Roman" w:hAnsi="Times New Roman" w:eastAsia="Times New Roman" w:cs="Times New Roman"/>
      </w:rPr>
      <w:instrText xml:space="preserve">PAGE</w:instrText>
    </w:r>
    <w:r>
      <w:rPr>
        <w:rFonts w:ascii="Times New Roman" w:hAnsi="Times New Roman" w:eastAsia="Times New Roman" w:cs="Times New Roman"/>
      </w:rPr>
      <w:fldChar w:fldCharType="separate"/>
    </w:r>
    <w:r>
      <w:rPr>
        <w:rFonts w:ascii="Times New Roman" w:hAnsi="Times New Roman" w:eastAsia="Times New Roman" w:cs="Times New Roman"/>
      </w:rPr>
      <w:t>1</w:t>
    </w:r>
    <w:r>
      <w:rPr>
        <w:rFonts w:ascii="Times New Roman" w:hAnsi="Times New Roman" w:eastAsia="Times New Roman" w:cs="Times New Roman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D4"/>
    <w:rsid w:val="000257FB"/>
    <w:rsid w:val="00034571"/>
    <w:rsid w:val="001B539F"/>
    <w:rsid w:val="006D57E6"/>
    <w:rsid w:val="00741644"/>
    <w:rsid w:val="009F7855"/>
    <w:rsid w:val="00A3653A"/>
    <w:rsid w:val="00CF38D4"/>
    <w:rsid w:val="00DD09C8"/>
    <w:rsid w:val="00DD4216"/>
    <w:rsid w:val="00F36737"/>
    <w:rsid w:val="00F90A75"/>
    <w:rsid w:val="5C3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Liberation Serif" w:cs="Liberation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Liberation Serif" w:hAnsi="Liberation Serif" w:eastAsia="Liberation Serif" w:cs="Liberation Serif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annotation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header"/>
    <w:basedOn w:val="1"/>
    <w:link w:val="31"/>
    <w:unhideWhenUsed/>
    <w:uiPriority w:val="99"/>
    <w:pPr>
      <w:tabs>
        <w:tab w:val="center" w:pos="4252"/>
        <w:tab w:val="right" w:pos="8504"/>
      </w:tabs>
    </w:pPr>
  </w:style>
  <w:style w:type="paragraph" w:styleId="16">
    <w:name w:val="annotation subject"/>
    <w:basedOn w:val="13"/>
    <w:next w:val="13"/>
    <w:link w:val="29"/>
    <w:semiHidden/>
    <w:unhideWhenUsed/>
    <w:qFormat/>
    <w:uiPriority w:val="99"/>
    <w:rPr>
      <w:b/>
      <w:bCs/>
    </w:rPr>
  </w:style>
  <w:style w:type="paragraph" w:styleId="17">
    <w:name w:val="footer"/>
    <w:basedOn w:val="1"/>
    <w:link w:val="32"/>
    <w:unhideWhenUsed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2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9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20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_Style 13"/>
    <w:basedOn w:val="20"/>
    <w:uiPriority w:val="0"/>
    <w:tblPr>
      <w:tblCellMar>
        <w:left w:w="103" w:type="dxa"/>
        <w:right w:w="108" w:type="dxa"/>
      </w:tblCellMar>
    </w:tblPr>
  </w:style>
  <w:style w:type="table" w:customStyle="1" w:styleId="22">
    <w:name w:val="_Style 14"/>
    <w:basedOn w:val="20"/>
    <w:qFormat/>
    <w:uiPriority w:val="0"/>
    <w:tblPr>
      <w:tblCellMar>
        <w:left w:w="103" w:type="dxa"/>
        <w:right w:w="108" w:type="dxa"/>
      </w:tblCellMar>
    </w:tblPr>
  </w:style>
  <w:style w:type="table" w:customStyle="1" w:styleId="23">
    <w:name w:val="_Style 15"/>
    <w:basedOn w:val="20"/>
    <w:uiPriority w:val="0"/>
    <w:tblPr>
      <w:tblCellMar>
        <w:left w:w="108" w:type="dxa"/>
        <w:right w:w="108" w:type="dxa"/>
      </w:tblCellMar>
    </w:tblPr>
  </w:style>
  <w:style w:type="table" w:customStyle="1" w:styleId="24">
    <w:name w:val="_Style 16"/>
    <w:basedOn w:val="20"/>
    <w:qFormat/>
    <w:uiPriority w:val="0"/>
    <w:tblPr>
      <w:tblCellMar>
        <w:left w:w="108" w:type="dxa"/>
        <w:right w:w="108" w:type="dxa"/>
      </w:tblCellMar>
    </w:tblPr>
  </w:style>
  <w:style w:type="table" w:customStyle="1" w:styleId="25">
    <w:name w:val="_Style 17"/>
    <w:basedOn w:val="20"/>
    <w:qFormat/>
    <w:uiPriority w:val="0"/>
    <w:tblPr>
      <w:tblCellMar>
        <w:left w:w="108" w:type="dxa"/>
        <w:right w:w="108" w:type="dxa"/>
      </w:tblCellMar>
    </w:tblPr>
  </w:style>
  <w:style w:type="character" w:customStyle="1" w:styleId="26">
    <w:name w:val="Texto de comentário Char"/>
    <w:basedOn w:val="8"/>
    <w:link w:val="13"/>
    <w:semiHidden/>
    <w:qFormat/>
    <w:uiPriority w:val="99"/>
    <w:rPr>
      <w:sz w:val="20"/>
      <w:szCs w:val="20"/>
    </w:rPr>
  </w:style>
  <w:style w:type="character" w:customStyle="1" w:styleId="27">
    <w:name w:val="Texto de balão Char"/>
    <w:basedOn w:val="8"/>
    <w:link w:val="18"/>
    <w:semiHidden/>
    <w:uiPriority w:val="99"/>
    <w:rPr>
      <w:rFonts w:ascii="Tahoma" w:hAnsi="Tahoma" w:cs="Tahoma"/>
      <w:sz w:val="16"/>
      <w:szCs w:val="16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Assunto do comentário Char"/>
    <w:basedOn w:val="26"/>
    <w:link w:val="16"/>
    <w:semiHidden/>
    <w:qFormat/>
    <w:uiPriority w:val="99"/>
    <w:rPr>
      <w:b/>
      <w:bCs/>
      <w:sz w:val="20"/>
      <w:szCs w:val="20"/>
    </w:rPr>
  </w:style>
  <w:style w:type="paragraph" w:customStyle="1" w:styleId="30">
    <w:name w:val="Default"/>
    <w:qFormat/>
    <w:uiPriority w:val="6"/>
    <w:pPr>
      <w:widowControl/>
      <w:suppressAutoHyphens/>
      <w:autoSpaceDE w:val="0"/>
    </w:pPr>
    <w:rPr>
      <w:rFonts w:ascii="Times New Roman" w:hAnsi="Times New Roman" w:eastAsia="Calibri" w:cs="Times New Roman"/>
      <w:color w:val="000000"/>
      <w:sz w:val="24"/>
      <w:szCs w:val="24"/>
      <w:lang w:val="pt-BR" w:eastAsia="zh-CN" w:bidi="ar-SA"/>
    </w:rPr>
  </w:style>
  <w:style w:type="character" w:customStyle="1" w:styleId="31">
    <w:name w:val="Cabeçalho Char"/>
    <w:basedOn w:val="8"/>
    <w:link w:val="15"/>
    <w:uiPriority w:val="99"/>
  </w:style>
  <w:style w:type="character" w:customStyle="1" w:styleId="32">
    <w:name w:val="Rodapé Char"/>
    <w:basedOn w:val="8"/>
    <w:link w:val="17"/>
    <w:uiPriority w:val="99"/>
  </w:style>
  <w:style w:type="table" w:customStyle="1" w:styleId="33">
    <w:name w:val="_Style 33"/>
    <w:basedOn w:val="20"/>
    <w:uiPriority w:val="0"/>
    <w:tblPr>
      <w:tblCellMar>
        <w:left w:w="108" w:type="dxa"/>
        <w:right w:w="108" w:type="dxa"/>
      </w:tblCellMar>
    </w:tblPr>
  </w:style>
  <w:style w:type="table" w:customStyle="1" w:styleId="34">
    <w:name w:val="_Style 34"/>
    <w:basedOn w:val="20"/>
    <w:uiPriority w:val="0"/>
    <w:tblPr>
      <w:tblCellMar>
        <w:left w:w="108" w:type="dxa"/>
        <w:right w:w="108" w:type="dxa"/>
      </w:tblCellMar>
    </w:tblPr>
  </w:style>
  <w:style w:type="table" w:customStyle="1" w:styleId="35">
    <w:name w:val="_Style 35"/>
    <w:basedOn w:val="20"/>
    <w:uiPriority w:val="0"/>
    <w:tblPr>
      <w:tblCellMar>
        <w:left w:w="108" w:type="dxa"/>
        <w:right w:w="108" w:type="dxa"/>
      </w:tblCellMar>
    </w:tblPr>
  </w:style>
  <w:style w:type="table" w:customStyle="1" w:styleId="36">
    <w:name w:val="_Style 36"/>
    <w:basedOn w:val="20"/>
    <w:uiPriority w:val="0"/>
    <w:tblPr>
      <w:tblCellMar>
        <w:left w:w="108" w:type="dxa"/>
        <w:right w:w="108" w:type="dxa"/>
      </w:tblCellMar>
    </w:tblPr>
  </w:style>
  <w:style w:type="table" w:customStyle="1" w:styleId="37">
    <w:name w:val="_Style 37"/>
    <w:basedOn w:val="20"/>
    <w:qFormat/>
    <w:uiPriority w:val="0"/>
    <w:tblPr>
      <w:tblCellMar>
        <w:left w:w="108" w:type="dxa"/>
        <w:right w:w="108" w:type="dxa"/>
      </w:tblCellMar>
    </w:tblPr>
  </w:style>
  <w:style w:type="table" w:customStyle="1" w:styleId="38">
    <w:name w:val="_Style 38"/>
    <w:basedOn w:val="20"/>
    <w:qFormat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1602</Characters>
  <Lines>13</Lines>
  <Paragraphs>3</Paragraphs>
  <TotalTime>0</TotalTime>
  <ScaleCrop>false</ScaleCrop>
  <LinksUpToDate>false</LinksUpToDate>
  <CharactersWithSpaces>1895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2023-12-04T13:51:00Z</dcterms:created>
  <dc:creator>User</dc:creator>
  <cp:lastModifiedBy>PRAEC</cp:lastModifiedBy>
  <dcterms:modified xsi:type="dcterms:W3CDTF">2023-12-04T15:24:18Z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9546AC3EF2574C7BAD742E19B6250BA4_12</vt:lpwstr>
  </property>
</Properties>
</file>