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588E056">
      <w:pPr>
        <w:spacing w:after="0" w:line="36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bookmarkStart w:id="0" w:name="_heading=h.gjdgxs" w:colFirst="0" w:colLast="0"/>
      <w:bookmarkEnd w:id="0"/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drawing>
          <wp:inline distT="0" distB="0" distL="0" distR="0">
            <wp:extent cx="739140" cy="807720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39140" cy="807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4C6BC8">
      <w:pPr>
        <w:spacing w:after="0" w:line="360" w:lineRule="auto"/>
        <w:jc w:val="center"/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  <w:t>TERMO DE REFERÊNCIA</w:t>
      </w:r>
    </w:p>
    <w:p w14:paraId="074C6BCA">
      <w:pPr>
        <w:spacing w:after="0" w:line="360" w:lineRule="auto"/>
        <w:jc w:val="center"/>
        <w:rPr>
          <w:rFonts w:ascii="Times New Roman" w:hAnsi="Times New Roman" w:eastAsia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  <w:t xml:space="preserve">Processo Administrativo n. </w:t>
      </w:r>
      <w:r>
        <w:rPr>
          <w:rFonts w:ascii="Times New Roman" w:hAnsi="Times New Roman" w:eastAsia="Times New Roman" w:cs="Times New Roman"/>
          <w:b/>
          <w:color w:val="000000"/>
          <w:sz w:val="24"/>
          <w:szCs w:val="24"/>
          <w:highlight w:val="yellow"/>
        </w:rPr>
        <w:t>xxxxx</w:t>
      </w:r>
    </w:p>
    <w:p w14:paraId="074C6BCC">
      <w:pPr>
        <w:spacing w:after="0" w:line="360" w:lineRule="auto"/>
        <w:jc w:val="center"/>
        <w:rPr>
          <w:rFonts w:ascii="Times New Roman" w:hAnsi="Times New Roman" w:eastAsia="Times New Roman" w:cs="Times New Roman"/>
          <w:b/>
          <w:color w:val="FF0000"/>
          <w:sz w:val="24"/>
          <w:szCs w:val="24"/>
        </w:rPr>
      </w:pPr>
    </w:p>
    <w:p w14:paraId="074C6BCD">
      <w:pPr>
        <w:keepNext/>
        <w:keepLines/>
        <w:numPr>
          <w:ilvl w:val="0"/>
          <w:numId w:val="2"/>
        </w:numPr>
        <w:pBdr>
          <w:top w:val="single" w:color="000000" w:sz="4" w:space="1"/>
          <w:left w:val="none" w:color="auto" w:sz="0" w:space="0"/>
          <w:bottom w:val="single" w:color="000000" w:sz="4" w:space="1"/>
          <w:right w:val="none" w:color="auto" w:sz="0" w:space="0"/>
          <w:between w:val="none" w:color="auto" w:sz="0" w:space="0"/>
        </w:pBdr>
        <w:spacing w:after="0" w:line="360" w:lineRule="auto"/>
        <w:jc w:val="both"/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pPr>
      <w:bookmarkStart w:id="1" w:name="_heading=h.30j0zll" w:colFirst="0" w:colLast="0"/>
      <w:bookmarkEnd w:id="1"/>
      <w:r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  <w:t>DAS CONDIÇÕES GERAIS</w:t>
      </w:r>
    </w:p>
    <w:p w14:paraId="074C6BCF">
      <w:pPr>
        <w:numPr>
          <w:ilvl w:val="1"/>
          <w:numId w:val="3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jc w:val="both"/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Pagamento de renovação de anuidade referente ao exercício de 2024 para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yellow"/>
        </w:rPr>
        <w:t>xxx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>, nos termos do quadro abaixo, conforme condições e exigências estabelecidas neste instrumento.</w:t>
      </w:r>
    </w:p>
    <w:p w14:paraId="074C6BD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ind w:left="432"/>
        <w:jc w:val="both"/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pPr>
    </w:p>
    <w:p w14:paraId="074C6BD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ind w:left="858"/>
        <w:jc w:val="both"/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  <w:t>Quadro 1 – Especificação do objeto</w:t>
      </w:r>
    </w:p>
    <w:tbl>
      <w:tblPr>
        <w:tblStyle w:val="66"/>
        <w:tblW w:w="823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15" w:type="dxa"/>
          <w:bottom w:w="0" w:type="dxa"/>
          <w:right w:w="115" w:type="dxa"/>
        </w:tblCellMar>
      </w:tblPr>
      <w:tblGrid>
        <w:gridCol w:w="2161"/>
        <w:gridCol w:w="3699"/>
        <w:gridCol w:w="2379"/>
      </w:tblGrid>
      <w:tr w14:paraId="074C6B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850" w:hRule="atLeast"/>
          <w:jc w:val="center"/>
        </w:trPr>
        <w:tc>
          <w:tcPr>
            <w:tcW w:w="2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4C6BD2">
            <w:pPr>
              <w:widowControl w:val="0"/>
              <w:spacing w:before="120" w:after="0" w:line="360" w:lineRule="auto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  <w:t>Item</w:t>
            </w:r>
          </w:p>
          <w:p w14:paraId="074C6BD3">
            <w:pPr>
              <w:widowControl w:val="0"/>
              <w:spacing w:before="120" w:after="0" w:line="360" w:lineRule="auto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3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4C6BD4">
            <w:pPr>
              <w:widowControl w:val="0"/>
              <w:spacing w:before="120" w:after="0" w:line="36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0"/>
                <w:szCs w:val="20"/>
              </w:rPr>
              <w:t>Especificação</w:t>
            </w:r>
          </w:p>
        </w:tc>
        <w:tc>
          <w:tcPr>
            <w:tcW w:w="2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4C6BD9">
            <w:pPr>
              <w:widowControl w:val="0"/>
              <w:spacing w:before="120" w:after="0" w:line="360" w:lineRule="auto"/>
              <w:jc w:val="center"/>
              <w:rPr>
                <w:rFonts w:ascii="Times New Roman" w:hAnsi="Times New Roman" w:eastAsia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sz w:val="20"/>
                <w:szCs w:val="20"/>
              </w:rPr>
              <w:t xml:space="preserve">Valor </w:t>
            </w:r>
          </w:p>
        </w:tc>
      </w:tr>
      <w:tr w14:paraId="074C6B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658" w:hRule="atLeast"/>
          <w:jc w:val="center"/>
        </w:trPr>
        <w:tc>
          <w:tcPr>
            <w:tcW w:w="2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4C6BDB">
            <w:pPr>
              <w:widowControl w:val="0"/>
              <w:spacing w:after="0" w:line="36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4C6BDD">
            <w:pPr>
              <w:widowControl w:val="0"/>
              <w:spacing w:after="0" w:line="360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2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4C6BE2">
            <w:pPr>
              <w:widowControl w:val="0"/>
              <w:spacing w:after="0" w:line="36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</w:p>
        </w:tc>
      </w:tr>
      <w:tr w14:paraId="074C6B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166" w:hRule="atLeast"/>
          <w:jc w:val="center"/>
        </w:trPr>
        <w:tc>
          <w:tcPr>
            <w:tcW w:w="58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4C6BE5">
            <w:pPr>
              <w:widowControl w:val="0"/>
              <w:spacing w:after="0" w:line="360" w:lineRule="auto"/>
              <w:jc w:val="center"/>
              <w:rPr>
                <w:rFonts w:hint="default" w:ascii="Times New Roman" w:hAnsi="Times New Roman" w:eastAsia="Times New Roman" w:cs="Times New Roman"/>
                <w:color w:val="000000"/>
                <w:sz w:val="20"/>
                <w:szCs w:val="20"/>
                <w:lang w:val="pt-BR"/>
              </w:rPr>
            </w:pPr>
            <w:r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0"/>
                <w:szCs w:val="20"/>
                <w:lang w:val="pt-BR"/>
              </w:rPr>
              <w:t>Valor total</w:t>
            </w:r>
          </w:p>
        </w:tc>
        <w:tc>
          <w:tcPr>
            <w:tcW w:w="2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4C6BEA">
            <w:pPr>
              <w:widowControl w:val="0"/>
              <w:spacing w:after="0" w:line="360" w:lineRule="auto"/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</w:pPr>
          </w:p>
        </w:tc>
      </w:tr>
    </w:tbl>
    <w:p w14:paraId="7577427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jc w:val="both"/>
        <w:rPr>
          <w:rFonts w:ascii="Times New Roman" w:hAnsi="Times New Roman" w:eastAsia="Times New Roman" w:cs="Times New Roman"/>
          <w:color w:val="000000"/>
          <w:sz w:val="24"/>
          <w:szCs w:val="24"/>
        </w:rPr>
      </w:pPr>
    </w:p>
    <w:p w14:paraId="074C6BF7">
      <w:pPr>
        <w:numPr>
          <w:ilvl w:val="1"/>
          <w:numId w:val="3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ind w:left="0" w:firstLine="0"/>
        <w:jc w:val="both"/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O custo estimado total é de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yellow"/>
        </w:rPr>
        <w:t>R$ (VALOR POR EXTENSO),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 conforme custos unitários dispostos no Quadro 1.</w:t>
      </w:r>
    </w:p>
    <w:p w14:paraId="265D26B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jc w:val="both"/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pPr>
    </w:p>
    <w:p w14:paraId="074C6BF8">
      <w:pPr>
        <w:keepNext/>
        <w:keepLines/>
        <w:numPr>
          <w:ilvl w:val="0"/>
          <w:numId w:val="3"/>
        </w:numPr>
        <w:pBdr>
          <w:top w:val="single" w:color="000000" w:sz="4" w:space="1"/>
          <w:left w:val="none" w:color="auto" w:sz="0" w:space="0"/>
          <w:bottom w:val="single" w:color="000000" w:sz="4" w:space="1"/>
          <w:right w:val="none" w:color="auto" w:sz="0" w:space="0"/>
          <w:between w:val="none" w:color="auto" w:sz="0" w:space="0"/>
        </w:pBdr>
        <w:spacing w:after="0" w:line="360" w:lineRule="auto"/>
        <w:jc w:val="both"/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  <w:t xml:space="preserve"> </w:t>
      </w:r>
      <w:r>
        <w:rPr>
          <w:rFonts w:hint="default" w:ascii="Times New Roman" w:hAnsi="Times New Roman" w:eastAsia="Times New Roman" w:cs="Times New Roman"/>
          <w:b/>
          <w:color w:val="000000"/>
          <w:sz w:val="24"/>
          <w:szCs w:val="24"/>
          <w:lang w:val="pt-BR"/>
        </w:rPr>
        <w:t>JUSTIFICATIVA E D</w:t>
      </w:r>
      <w:r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  <w:t>ESCRIÇÃO DA NECESSIDADE</w:t>
      </w:r>
    </w:p>
    <w:p w14:paraId="074C6BF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ind w:left="432"/>
        <w:jc w:val="both"/>
        <w:rPr>
          <w:rFonts w:ascii="Times New Roman" w:hAnsi="Times New Roman" w:eastAsia="Times New Roman" w:cs="Times New Roman"/>
          <w:color w:val="000000"/>
          <w:sz w:val="24"/>
          <w:szCs w:val="24"/>
        </w:rPr>
      </w:pPr>
    </w:p>
    <w:p w14:paraId="44C4B495">
      <w:pPr>
        <w:numPr>
          <w:ilvl w:val="1"/>
          <w:numId w:val="4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jc w:val="both"/>
        <w:rPr>
          <w:rFonts w:ascii="Times New Roman" w:hAnsi="Times New Roman" w:eastAsia="Times New Roman" w:cs="Times New Roman"/>
          <w:i/>
          <w:color w:val="FF0000"/>
          <w:sz w:val="24"/>
          <w:szCs w:val="24"/>
          <w:highlight w:val="white"/>
        </w:rPr>
      </w:pPr>
      <w:r>
        <w:rPr>
          <w:rFonts w:ascii="Times New Roman" w:hAnsi="Times New Roman" w:cs="Times New Roman"/>
          <w:i/>
          <w:color w:val="FF0000"/>
          <w:sz w:val="24"/>
          <w:szCs w:val="24"/>
        </w:rPr>
        <w:t>Descrever aqui do que se trata a associação, bem como demonstrar a pertinência entre as atividades da associação/organização e os fins institucionais desta IFES, informar se haverá contribuição direta para a melhoria da atuação da Administração Pública, e os prejuízos em caso de não pagamento.</w:t>
      </w:r>
    </w:p>
    <w:p w14:paraId="074C6C0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74C6C16">
      <w:pPr>
        <w:keepNext/>
        <w:keepLines/>
        <w:numPr>
          <w:ilvl w:val="0"/>
          <w:numId w:val="5"/>
        </w:numPr>
        <w:pBdr>
          <w:top w:val="single" w:color="000000" w:sz="4" w:space="1"/>
          <w:left w:val="none" w:color="auto" w:sz="0" w:space="0"/>
          <w:bottom w:val="single" w:color="000000" w:sz="4" w:space="0"/>
          <w:right w:val="none" w:color="auto" w:sz="0" w:space="0"/>
          <w:between w:val="none" w:color="auto" w:sz="0" w:space="0"/>
        </w:pBdr>
        <w:spacing w:after="0" w:line="360" w:lineRule="auto"/>
        <w:jc w:val="both"/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  <w:t xml:space="preserve">DOS PREÇOS PROPOSTOS </w:t>
      </w:r>
    </w:p>
    <w:p w14:paraId="074C6C1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rPr>
          <w:rFonts w:ascii="Times New Roman" w:hAnsi="Times New Roman" w:eastAsia="Times New Roman" w:cs="Times New Roman"/>
          <w:color w:val="000000"/>
          <w:sz w:val="24"/>
          <w:szCs w:val="24"/>
        </w:rPr>
      </w:pPr>
    </w:p>
    <w:p w14:paraId="074C6C18">
      <w:pPr>
        <w:numPr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ind w:leftChars="0"/>
        <w:jc w:val="both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val="pt-BR"/>
        </w:rPr>
        <w:t xml:space="preserve">3.1 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O valor total da anuidade na categoria de Associado Institucional é de R$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yellow"/>
        </w:rPr>
        <w:t>xxx (valor por extenso),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 comprovado por meio de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yellow"/>
        </w:rPr>
        <w:t>xxxx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 e por meio de empenho de outras instituições. </w:t>
      </w:r>
    </w:p>
    <w:p w14:paraId="074C6C1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jc w:val="both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val="pt-BR"/>
        </w:rPr>
        <w:t xml:space="preserve">3.2 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 Ressaltamos que o valor da anuidade é definido por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yellow"/>
        </w:rPr>
        <w:t>xxxxx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 e estima-se que o valor </w:t>
      </w: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val="pt-BR"/>
        </w:rPr>
        <w:t>para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 o período de 12 (meses) será de R$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yellow"/>
        </w:rPr>
        <w:t>xx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 (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yellow"/>
        </w:rPr>
        <w:t>valor por extenso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>).</w:t>
      </w:r>
    </w:p>
    <w:p w14:paraId="074C6C1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jc w:val="both"/>
        <w:rPr>
          <w:rFonts w:ascii="Times New Roman" w:hAnsi="Times New Roman" w:eastAsia="Times New Roman" w:cs="Times New Roman"/>
          <w:color w:val="000000"/>
          <w:sz w:val="24"/>
          <w:szCs w:val="24"/>
        </w:rPr>
      </w:pPr>
    </w:p>
    <w:p w14:paraId="074C6C1F">
      <w:pPr>
        <w:keepNext/>
        <w:keepLines/>
        <w:numPr>
          <w:ilvl w:val="0"/>
          <w:numId w:val="5"/>
        </w:numPr>
        <w:pBdr>
          <w:top w:val="single" w:color="000000" w:sz="4" w:space="1"/>
          <w:bottom w:val="single" w:color="000000" w:sz="4" w:space="1"/>
        </w:pBd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pPr>
      <w:bookmarkStart w:id="2" w:name="bookmark=id.3znysh7" w:colFirst="0" w:colLast="0"/>
      <w:bookmarkEnd w:id="2"/>
      <w:bookmarkStart w:id="3" w:name="bookmark=id.1fob9te" w:colFirst="0" w:colLast="0"/>
      <w:bookmarkEnd w:id="3"/>
      <w:bookmarkStart w:id="4" w:name="bookmark=id.2et92p0" w:colFirst="0" w:colLast="0"/>
      <w:bookmarkEnd w:id="4"/>
      <w:r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  <w:t>DOS CRITÉRIOS PARA PAGAMENTO</w:t>
      </w:r>
    </w:p>
    <w:p w14:paraId="074C6C2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color="auto" w:fill="FFFFFF"/>
        <w:spacing w:after="0" w:line="360" w:lineRule="auto"/>
        <w:ind w:left="360"/>
        <w:jc w:val="both"/>
        <w:rPr>
          <w:rFonts w:ascii="Times New Roman" w:hAnsi="Times New Roman" w:eastAsia="Times New Roman" w:cs="Times New Roman"/>
          <w:color w:val="000000"/>
          <w:sz w:val="24"/>
          <w:szCs w:val="24"/>
        </w:rPr>
      </w:pPr>
    </w:p>
    <w:p w14:paraId="6F9F621C">
      <w:pPr>
        <w:numPr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color="auto" w:fill="FFFFFF"/>
        <w:spacing w:after="0" w:line="360" w:lineRule="auto"/>
        <w:ind w:left="-142" w:leftChars="0"/>
        <w:jc w:val="both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val="pt-BR"/>
        </w:rPr>
        <w:t xml:space="preserve">4.1 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O valor a ser pago da anuidade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yellow"/>
        </w:rPr>
        <w:t>xxx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 é de R$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yellow"/>
        </w:rPr>
        <w:t>xxx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 (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yellow"/>
        </w:rPr>
        <w:t>valor por extenso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 xml:space="preserve">a ser pago por meio de </w:t>
      </w:r>
      <w:r>
        <w:rPr>
          <w:rFonts w:ascii="Times New Roman" w:hAnsi="Times New Roman" w:cs="Times New Roman"/>
          <w:sz w:val="24"/>
          <w:szCs w:val="24"/>
          <w:highlight w:val="yellow"/>
        </w:rPr>
        <w:t>xxxx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74C6C40">
      <w:pPr>
        <w:numPr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color="auto" w:fill="FFFFFF"/>
        <w:spacing w:after="0" w:line="360" w:lineRule="auto"/>
        <w:ind w:left="-220" w:leftChars="0"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highlight w:val="white"/>
        </w:rPr>
      </w:pP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highlight w:val="white"/>
          <w:lang w:val="pt-BR"/>
        </w:rPr>
        <w:t xml:space="preserve">4.2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white"/>
        </w:rPr>
        <w:t>A Nota Fiscal ou Fatura deverá ser obrigatoriamente acompanhada da comprovação da regularidade fiscal, constatada por meio de consulta on-line ao SICAF ou, na impossibilidade de acesso ao referido Sistema, mediante consulta aos sítios eletrônicos oficiais.</w:t>
      </w:r>
    </w:p>
    <w:p w14:paraId="074C6C43">
      <w:pPr>
        <w:numPr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color="auto" w:fill="FFFFFF"/>
        <w:spacing w:after="0" w:line="360" w:lineRule="auto"/>
        <w:ind w:left="-220" w:leftChars="0"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highlight w:val="white"/>
        </w:rPr>
      </w:pP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highlight w:val="white"/>
          <w:lang w:val="pt-BR"/>
        </w:rPr>
        <w:t xml:space="preserve">4.3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white"/>
        </w:rPr>
        <w:t xml:space="preserve">A Administração deverá realizar consulta ao SICAF para verificar a regularidade fiscal e trabalhista da </w:t>
      </w: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highlight w:val="white"/>
          <w:lang w:val="pt-BR"/>
        </w:rPr>
        <w:t>A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white"/>
        </w:rPr>
        <w:t>ssociação.</w:t>
      </w:r>
    </w:p>
    <w:p w14:paraId="074C6C55">
      <w:pPr>
        <w:keepNext/>
        <w:keepLines/>
        <w:numPr>
          <w:ilvl w:val="0"/>
          <w:numId w:val="5"/>
        </w:numPr>
        <w:pBdr>
          <w:top w:val="single" w:color="000000" w:sz="4" w:space="1"/>
          <w:bottom w:val="single" w:color="000000" w:sz="4" w:space="1"/>
        </w:pBdr>
        <w:tabs>
          <w:tab w:val="left" w:pos="426"/>
        </w:tabs>
        <w:spacing w:after="0" w:line="360" w:lineRule="auto"/>
        <w:ind w:left="0" w:firstLine="0"/>
        <w:jc w:val="both"/>
        <w:rPr>
          <w:rFonts w:ascii="TimesNewRomanPS-BoldMT" w:hAnsi="TimesNewRomanPS-BoldMT" w:cs="TimesNewRomanPS-BoldMT"/>
          <w:b/>
        </w:rPr>
      </w:pPr>
      <w:r>
        <w:rPr>
          <w:rFonts w:ascii="TimesNewRomanPS-BoldMT" w:hAnsi="TimesNewRomanPS-BoldMT" w:cs="TimesNewRomanPS-BoldMT"/>
          <w:b/>
        </w:rPr>
        <w:t xml:space="preserve">DOCUMENTOS DE REGULARIDADE </w:t>
      </w:r>
    </w:p>
    <w:p w14:paraId="1ADB2988">
      <w:pPr>
        <w:numPr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ind w:leftChars="0"/>
        <w:jc w:val="both"/>
        <w:rPr>
          <w:rFonts w:ascii="TimesNewRomanPSMT" w:hAnsi="TimesNewRomanPSMT" w:cs="TimesNewRomanPSMT"/>
        </w:rPr>
      </w:pPr>
      <w:r>
        <w:rPr>
          <w:rFonts w:hint="default" w:ascii="TimesNewRomanPS-BoldMT" w:hAnsi="TimesNewRomanPS-BoldMT" w:cs="TimesNewRomanPS-BoldMT"/>
          <w:sz w:val="24"/>
          <w:szCs w:val="24"/>
          <w:lang w:val="pt-BR"/>
        </w:rPr>
        <w:t xml:space="preserve">5.1 </w:t>
      </w:r>
      <w:r>
        <w:rPr>
          <w:rFonts w:ascii="TimesNewRomanPS-BoldMT" w:hAnsi="TimesNewRomanPS-BoldMT" w:cs="TimesNewRomanPS-BoldMT"/>
          <w:sz w:val="24"/>
          <w:szCs w:val="24"/>
        </w:rPr>
        <w:t xml:space="preserve">Conforme Parecer nº 037/2024/NCA/PFFUFPI/PGF/AGU, </w:t>
      </w:r>
      <w:r>
        <w:rPr>
          <w:rFonts w:ascii="TimesNewRomanPSMT" w:hAnsi="TimesNewRomanPSMT" w:cs="TimesNewRomanPSMT"/>
          <w:sz w:val="24"/>
          <w:szCs w:val="24"/>
        </w:rPr>
        <w:t xml:space="preserve">o pagamento de anuidades não detém natureza contratual, </w:t>
      </w:r>
      <w:r>
        <w:rPr>
          <w:rFonts w:ascii="TimesNewRomanPS-BoldMT" w:hAnsi="TimesNewRomanPS-BoldMT" w:cs="TimesNewRomanPS-BoldMT"/>
          <w:sz w:val="24"/>
          <w:szCs w:val="24"/>
        </w:rPr>
        <w:t>mas sim institucional, não se submetendo à Lei de Licitações. Desta forma, entende-se que o critério de seleção do fornecedor não se aplica</w:t>
      </w:r>
      <w:r>
        <w:rPr>
          <w:rFonts w:ascii="TimesNewRomanPS-BoldMT" w:hAnsi="TimesNewRomanPS-BoldMT" w:cs="TimesNewRomanPS-BoldMT"/>
        </w:rPr>
        <w:t xml:space="preserve">. </w:t>
      </w:r>
    </w:p>
    <w:p w14:paraId="074C6C58">
      <w:pPr>
        <w:numPr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ind w:leftChars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val="pt-BR"/>
        </w:rPr>
        <w:t xml:space="preserve">5.2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Previamente à emissão da nota de empenho, a Administração verificará o eventual descumprimento das condições para contratação, especialmente quanto à existência de sanção que a impeça, mediante a consulta a cadastros informativos oficiais, tais como:  </w:t>
      </w:r>
    </w:p>
    <w:p w14:paraId="074C6C5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ind w:left="567"/>
        <w:jc w:val="both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a) SICAF;  </w:t>
      </w:r>
    </w:p>
    <w:p w14:paraId="074C6C68">
      <w:pPr>
        <w:numPr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ind w:leftChars="0"/>
        <w:jc w:val="both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val="pt-BR"/>
        </w:rPr>
        <w:t xml:space="preserve">5.3 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>Para fins de contratação, deverá a associação comprovar os seguintes requisitos de habilitação:</w:t>
      </w:r>
    </w:p>
    <w:p w14:paraId="074C6C69">
      <w:pPr>
        <w:numPr>
          <w:numId w:val="0"/>
        </w:numPr>
        <w:spacing w:after="0" w:line="360" w:lineRule="auto"/>
        <w:ind w:leftChars="0"/>
        <w:jc w:val="both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hint="default" w:ascii="Times New Roman" w:hAnsi="Times New Roman" w:eastAsia="Times New Roman" w:cs="Times New Roman"/>
          <w:b/>
          <w:sz w:val="24"/>
          <w:szCs w:val="24"/>
          <w:lang w:val="pt-BR"/>
        </w:rPr>
        <w:t xml:space="preserve">5.4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Habilitação Jurídica: </w:t>
      </w:r>
    </w:p>
    <w:p w14:paraId="074C6C6A">
      <w:pPr>
        <w:spacing w:after="0" w:line="360" w:lineRule="auto"/>
        <w:ind w:left="72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val="pt-BR"/>
        </w:rPr>
        <w:t xml:space="preserve">5.4.1 </w:t>
      </w:r>
      <w:r>
        <w:rPr>
          <w:rFonts w:ascii="Times New Roman" w:hAnsi="Times New Roman" w:eastAsia="Times New Roman" w:cs="Times New Roman"/>
          <w:sz w:val="24"/>
          <w:szCs w:val="24"/>
        </w:rPr>
        <w:t>Ata de fundação e estatuto social, com a ata da assembleia que o aprovo</w:t>
      </w:r>
      <w:r>
        <w:rPr>
          <w:rFonts w:hint="default" w:ascii="Times New Roman" w:hAnsi="Times New Roman" w:eastAsia="Times New Roman" w:cs="Times New Roman"/>
          <w:sz w:val="24"/>
          <w:szCs w:val="24"/>
          <w:lang w:val="pt-BR"/>
        </w:rPr>
        <w:t xml:space="preserve">u. </w:t>
      </w:r>
    </w:p>
    <w:p w14:paraId="074C6C6B">
      <w:pPr>
        <w:numPr>
          <w:numId w:val="0"/>
        </w:numPr>
        <w:spacing w:after="0" w:line="360" w:lineRule="auto"/>
        <w:ind w:leftChars="0"/>
        <w:jc w:val="both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hint="default" w:ascii="Times New Roman" w:hAnsi="Times New Roman" w:eastAsia="Times New Roman" w:cs="Times New Roman"/>
          <w:b/>
          <w:sz w:val="24"/>
          <w:szCs w:val="24"/>
          <w:lang w:val="pt-BR"/>
        </w:rPr>
        <w:t xml:space="preserve">5.5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>Habilitações fiscal, social e trabalhista:</w:t>
      </w:r>
    </w:p>
    <w:p w14:paraId="074C6C6C">
      <w:pPr>
        <w:pStyle w:val="28"/>
        <w:numPr>
          <w:numId w:val="0"/>
        </w:numPr>
        <w:spacing w:after="0" w:line="360" w:lineRule="auto"/>
        <w:ind w:left="880" w:leftChars="400" w:firstLine="0" w:firstLineChars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val="pt-BR"/>
        </w:rPr>
        <w:t xml:space="preserve">5.5.1 </w:t>
      </w:r>
      <w:r>
        <w:rPr>
          <w:rFonts w:ascii="Times New Roman" w:hAnsi="Times New Roman" w:eastAsia="Times New Roman" w:cs="Times New Roman"/>
          <w:sz w:val="24"/>
          <w:szCs w:val="24"/>
        </w:rPr>
        <w:t>prova de inscrição no Cadastro Nacional da Pessoa Jurídica (CNPJ);</w:t>
      </w:r>
    </w:p>
    <w:p w14:paraId="074C6C6D">
      <w:pPr>
        <w:numPr>
          <w:numId w:val="0"/>
        </w:numPr>
        <w:spacing w:after="0" w:line="360" w:lineRule="auto"/>
        <w:ind w:left="880" w:leftChars="400" w:firstLine="0" w:firstLineChars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val="pt-BR"/>
        </w:rPr>
        <w:t xml:space="preserve">5.5.2 </w:t>
      </w:r>
      <w:r>
        <w:rPr>
          <w:rFonts w:ascii="Times New Roman" w:hAnsi="Times New Roman" w:eastAsia="Times New Roman" w:cs="Times New Roman"/>
          <w:sz w:val="24"/>
          <w:szCs w:val="24"/>
        </w:rPr>
        <w:t>prova de regularidade fiscal perante a Fazenda Nacional, mediante apresentação de certidão expedida conjuntamente pela Secretaria da Receita Federal do Brasil (RFB) e pela Procuradoria-Geral da Fazenda Nacional (PGFN), referente a todos os créditos tributários federais e à Dívida Ativa da União (DAU) por elas administrados, inclusive aqueles relativos à Seguridade Social, nos termos da Portaria Conjunta nº 1.751, de 02/10/2014, do Secretário da Receita Federal do Brasil e da Procuradora-Geral da Fazenda Nacional.</w:t>
      </w:r>
    </w:p>
    <w:p w14:paraId="074C6C6E">
      <w:pPr>
        <w:numPr>
          <w:numId w:val="0"/>
        </w:numPr>
        <w:spacing w:after="0" w:line="360" w:lineRule="auto"/>
        <w:ind w:left="880" w:leftChars="400" w:firstLine="0" w:firstLineChars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val="pt-BR"/>
        </w:rPr>
        <w:t xml:space="preserve">5.5.3 </w:t>
      </w:r>
      <w:r>
        <w:rPr>
          <w:rFonts w:ascii="Times New Roman" w:hAnsi="Times New Roman" w:eastAsia="Times New Roman" w:cs="Times New Roman"/>
          <w:sz w:val="24"/>
          <w:szCs w:val="24"/>
        </w:rPr>
        <w:t>prova de regularidade com o Fundo de Garantia do Tempo de Serviço (FGTS);</w:t>
      </w:r>
    </w:p>
    <w:p w14:paraId="074C6C6F">
      <w:pPr>
        <w:numPr>
          <w:numId w:val="0"/>
        </w:numPr>
        <w:spacing w:after="0" w:line="360" w:lineRule="auto"/>
        <w:ind w:left="880" w:leftChars="400" w:firstLine="0" w:firstLineChars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val="pt-BR"/>
        </w:rPr>
        <w:t xml:space="preserve">5.5.4 </w:t>
      </w:r>
      <w:r>
        <w:rPr>
          <w:rFonts w:ascii="Times New Roman" w:hAnsi="Times New Roman" w:eastAsia="Times New Roman" w:cs="Times New Roman"/>
          <w:sz w:val="24"/>
          <w:szCs w:val="24"/>
        </w:rPr>
        <w:t>declaração de que não emprega menor de 18 anos em trabalho noturno, perigoso ou insalubre e não emprega menor de 16 anos, salvo menor, a partir de 14 anos, na condição de aprendiz, nos termos do artigo 7°, XXXIII, da Constituição;</w:t>
      </w:r>
    </w:p>
    <w:p w14:paraId="074C6C70">
      <w:pPr>
        <w:numPr>
          <w:numId w:val="0"/>
        </w:numPr>
        <w:spacing w:after="0" w:line="360" w:lineRule="auto"/>
        <w:ind w:left="880" w:leftChars="400" w:firstLine="0" w:firstLineChars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val="pt-BR"/>
        </w:rPr>
        <w:t xml:space="preserve">5.5.5 </w:t>
      </w:r>
      <w:r>
        <w:rPr>
          <w:rFonts w:ascii="Times New Roman" w:hAnsi="Times New Roman" w:eastAsia="Times New Roman" w:cs="Times New Roman"/>
          <w:sz w:val="24"/>
          <w:szCs w:val="24"/>
        </w:rPr>
        <w:t>prova de inexistência de débitos inadimplidos perante a Justiça do Trabalho, mediante a apresentação de certidão negativa ou positiva com efeito de negativa, nos termos do Título VII-A da Consolidação das Leis do Trabalho, aprovada pelo Decreto-Lei nº 5.452, de 1º de maio de 1943.</w:t>
      </w:r>
    </w:p>
    <w:p w14:paraId="074C6C71">
      <w:pPr>
        <w:numPr>
          <w:numId w:val="0"/>
        </w:numPr>
        <w:spacing w:after="0" w:line="360" w:lineRule="auto"/>
        <w:ind w:left="880" w:leftChars="400" w:firstLine="0" w:firstLineChars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val="pt-BR"/>
        </w:rPr>
        <w:t xml:space="preserve">5.5.6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prova de inscrição no cadastro de contribuintes municipal, se houver, relativo ao domicílio ou sede do fornecedor, pertinente ao seu ramo de atividade e compatível com o objeto contratual; </w:t>
      </w:r>
    </w:p>
    <w:p w14:paraId="074C6C72">
      <w:pPr>
        <w:numPr>
          <w:numId w:val="0"/>
        </w:numPr>
        <w:spacing w:after="0" w:line="360" w:lineRule="auto"/>
        <w:ind w:left="880" w:leftChars="400" w:firstLine="0" w:firstLineChars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val="pt-BR"/>
        </w:rPr>
        <w:t xml:space="preserve">5.5.7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prova de regularidade com a Fazenda Municipal ou Distrital do domicílio ou sede do fornecedor, relativa à atividade em cujo exercício contrata ou concorre; </w:t>
      </w:r>
    </w:p>
    <w:p w14:paraId="074C6C73">
      <w:pPr>
        <w:spacing w:after="0" w:line="360" w:lineRule="auto"/>
        <w:ind w:left="1320" w:leftChars="0" w:firstLine="0" w:firstLineChars="0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lang w:val="pt-BR"/>
        </w:rPr>
        <w:t>5.5</w:t>
      </w:r>
      <w:r>
        <w:rPr>
          <w:rFonts w:ascii="Times New Roman" w:hAnsi="Times New Roman" w:eastAsia="Times New Roman" w:cs="Times New Roman"/>
          <w:sz w:val="24"/>
          <w:szCs w:val="24"/>
        </w:rPr>
        <w:t>.7.1. caso a associação seja considerado isento dos tributos municipais ou distritais relacionados ao objeto, deverá comprovar tal condição mediante a apresentação de certidão ou declaração da Fazenda respectiva do seu domicílio ou sede, ou por meio de outro documento equivalente, na forma da respectiva legislação de regência</w:t>
      </w:r>
      <w:r>
        <w:rPr>
          <w:rFonts w:ascii="Times New Roman" w:hAnsi="Times New Roman" w:eastAsia="Times New Roman" w:cs="Times New Roman"/>
          <w:color w:val="FF0000"/>
          <w:sz w:val="24"/>
          <w:szCs w:val="24"/>
        </w:rPr>
        <w:t>.</w:t>
      </w:r>
    </w:p>
    <w:p w14:paraId="074C6C74">
      <w:pPr>
        <w:keepNext/>
        <w:keepLines/>
        <w:numPr>
          <w:ilvl w:val="0"/>
          <w:numId w:val="5"/>
        </w:numPr>
        <w:pBdr>
          <w:top w:val="single" w:color="000000" w:sz="4" w:space="1"/>
          <w:bottom w:val="single" w:color="000000" w:sz="4" w:space="1"/>
        </w:pBd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pPr>
      <w:r>
        <w:rPr>
          <w:rFonts w:ascii="TimesNewRomanPS-BoldMT" w:hAnsi="TimesNewRomanPS-BoldMT" w:cs="TimesNewRomanPS-BoldMT"/>
          <w:b/>
        </w:rPr>
        <w:t xml:space="preserve">ADEQUAÇÃO </w:t>
      </w:r>
      <w:r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  <w:t xml:space="preserve">ORÇAMENTÁRIA </w:t>
      </w:r>
    </w:p>
    <w:p w14:paraId="074C6C75">
      <w:pPr>
        <w:numPr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ind w:leftChars="0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val="pt-BR"/>
        </w:rPr>
        <w:t xml:space="preserve">6.1 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>As despesas decorrentes da presente contratação correrão à conta de recursos específicos consignados no Orçamento Geral da União.</w:t>
      </w:r>
    </w:p>
    <w:p w14:paraId="074C6C77">
      <w:pPr>
        <w:numPr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ind w:left="568" w:leftChars="0"/>
        <w:jc w:val="both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val="pt-BR"/>
        </w:rPr>
        <w:t>6.1</w:t>
      </w:r>
      <w:bookmarkStart w:id="5" w:name="_GoBack"/>
      <w:bookmarkEnd w:id="5"/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val="pt-BR"/>
        </w:rPr>
        <w:t xml:space="preserve">.1 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A contratação será atendida pela </w:t>
      </w:r>
      <w:r>
        <w:rPr>
          <w:rFonts w:ascii="Times New Roman" w:hAnsi="Times New Roman" w:eastAsia="Times New Roman" w:cs="Times New Roman"/>
          <w:sz w:val="24"/>
          <w:szCs w:val="24"/>
        </w:rPr>
        <w:t>dotação orçamentária informada pela Pró-Reitoria de Planejamento e Orçamento, em despacho específico.</w:t>
      </w:r>
    </w:p>
    <w:p w14:paraId="074C6C78">
      <w:pPr>
        <w:numPr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ind w:leftChars="0"/>
        <w:jc w:val="both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val="pt-BR"/>
        </w:rPr>
        <w:t xml:space="preserve">6.2 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>A dotação relativa aos exercícios financeiros subsequentes será indicada após aprovação da Lei Orçamentária respectiva e liberação dos créditos correspondentes, mediante apostilamento.</w:t>
      </w:r>
    </w:p>
    <w:p w14:paraId="074C6C79">
      <w:pPr>
        <w:keepNext/>
        <w:keepLines/>
        <w:numPr>
          <w:ilvl w:val="0"/>
          <w:numId w:val="5"/>
        </w:numPr>
        <w:pBdr>
          <w:top w:val="single" w:color="000000" w:sz="4" w:space="1"/>
          <w:bottom w:val="single" w:color="000000" w:sz="4" w:space="1"/>
        </w:pBd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  <w:t>RESPONSÁVEIS PELA ELABORAÇÃO DO TERMO DE REFERÊNCIA</w:t>
      </w:r>
    </w:p>
    <w:p w14:paraId="074C6C7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36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</w:p>
    <w:p w14:paraId="074C6C7C">
      <w:pPr>
        <w:spacing w:after="0" w:line="360" w:lineRule="auto"/>
        <w:ind w:left="360"/>
        <w:jc w:val="right"/>
        <w:rPr>
          <w:rFonts w:ascii="Times New Roman" w:hAnsi="Times New Roman" w:eastAsia="Times New Roman" w:cs="Times New Roman"/>
          <w:sz w:val="24"/>
          <w:szCs w:val="24"/>
        </w:rPr>
      </w:pPr>
    </w:p>
    <w:p w14:paraId="074C6C84">
      <w:pPr>
        <w:spacing w:after="0" w:line="360" w:lineRule="auto"/>
        <w:ind w:left="360"/>
        <w:jc w:val="right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Teresina (PI), de   de 2024</w:t>
      </w:r>
    </w:p>
    <w:p w14:paraId="074C6C85"/>
    <w:sectPr>
      <w:footerReference r:id="rId5" w:type="default"/>
      <w:pgSz w:w="11906" w:h="16838"/>
      <w:pgMar w:top="851" w:right="1134" w:bottom="1134" w:left="1701" w:header="708" w:footer="708" w:gutter="0"/>
      <w:pgNumType w:start="1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Ecofont_Spranq_eco_Sans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Lucida Sans">
    <w:altName w:val="Lucida Sans Unicode"/>
    <w:panose1 w:val="020B0602030504020204"/>
    <w:charset w:val="00"/>
    <w:family w:val="swiss"/>
    <w:pitch w:val="default"/>
    <w:sig w:usb0="00000000" w:usb1="00000000" w:usb2="00000000" w:usb3="00000000" w:csb0="00000001" w:csb1="00000000"/>
  </w:font>
  <w:font w:name="WenQuanYi Micro Hei">
    <w:altName w:val="Segoe Print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Lohit Hindi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Georgia">
    <w:panose1 w:val="02040502050405020303"/>
    <w:charset w:val="00"/>
    <w:family w:val="roman"/>
    <w:pitch w:val="default"/>
    <w:sig w:usb0="00000287" w:usb1="00000000" w:usb2="00000000" w:usb3="00000000" w:csb0="2000009F" w:csb1="00000000"/>
  </w:font>
  <w:font w:name="TimesNewRomanPS-BoldMT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74C6C88"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center" w:pos="4252"/>
        <w:tab w:val="right" w:pos="8504"/>
      </w:tabs>
      <w:spacing w:after="0" w:line="240" w:lineRule="auto"/>
      <w:rPr>
        <w:color w:val="000000"/>
        <w:sz w:val="12"/>
        <w:szCs w:val="12"/>
      </w:rPr>
    </w:pPr>
    <w:r>
      <w:rPr>
        <w:color w:val="000000"/>
        <w:sz w:val="12"/>
        <w:szCs w:val="12"/>
      </w:rPr>
      <w:t>Termo de Referência – Serviços – Lei nº 14.133/21 – Contratação Direta</w:t>
    </w:r>
  </w:p>
  <w:p w14:paraId="074C6C89"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  <w:sz w:val="12"/>
        <w:szCs w:val="12"/>
      </w:rPr>
      <w:t>Atualização: Junho/2022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E3A4201"/>
    <w:multiLevelType w:val="multilevel"/>
    <w:tmpl w:val="1E3A4201"/>
    <w:lvl w:ilvl="0" w:tentative="0">
      <w:start w:val="2"/>
      <w:numFmt w:val="decimal"/>
      <w:lvlText w:val="%1."/>
      <w:lvlJc w:val="left"/>
      <w:pPr>
        <w:ind w:left="360" w:hanging="360"/>
      </w:pPr>
      <w:rPr>
        <w:b/>
        <w:color w:val="000000"/>
      </w:rPr>
    </w:lvl>
    <w:lvl w:ilvl="1" w:tentative="0">
      <w:start w:val="1"/>
      <w:numFmt w:val="decimal"/>
      <w:lvlText w:val="%1.%2."/>
      <w:lvlJc w:val="left"/>
      <w:pPr>
        <w:ind w:left="432" w:hanging="432"/>
      </w:pPr>
      <w:rPr>
        <w:b w:val="0"/>
        <w:i w:val="0"/>
        <w:strike w:val="0"/>
        <w:color w:val="000000"/>
        <w:u w:val="none"/>
      </w:rPr>
    </w:lvl>
    <w:lvl w:ilvl="2" w:tentative="0">
      <w:start w:val="1"/>
      <w:numFmt w:val="decimal"/>
      <w:lvlText w:val="%1.%2.%3."/>
      <w:lvlJc w:val="left"/>
      <w:pPr>
        <w:ind w:left="1072" w:hanging="504"/>
      </w:pPr>
      <w:rPr>
        <w:b w:val="0"/>
        <w:i w:val="0"/>
        <w:color w:val="000000"/>
        <w:sz w:val="24"/>
        <w:szCs w:val="24"/>
      </w:rPr>
    </w:lvl>
    <w:lvl w:ilvl="3" w:tentative="0">
      <w:start w:val="1"/>
      <w:numFmt w:val="decimal"/>
      <w:lvlText w:val="%1.%2.%3.%4."/>
      <w:lvlJc w:val="left"/>
      <w:pPr>
        <w:ind w:left="2491" w:hanging="648"/>
      </w:pPr>
      <w:rPr>
        <w:color w:val="000000"/>
      </w:rPr>
    </w:lvl>
    <w:lvl w:ilvl="4" w:tentative="0">
      <w:start w:val="1"/>
      <w:numFmt w:val="decimal"/>
      <w:lvlText w:val="%1.%2.%3.%4.%5."/>
      <w:lvlJc w:val="left"/>
      <w:pPr>
        <w:ind w:left="2232" w:hanging="792"/>
      </w:pPr>
    </w:lvl>
    <w:lvl w:ilvl="5" w:tentative="0">
      <w:start w:val="1"/>
      <w:numFmt w:val="decimal"/>
      <w:lvlText w:val="%1.%2.%3.%4.%5.%6."/>
      <w:lvlJc w:val="left"/>
      <w:pPr>
        <w:ind w:left="2736" w:hanging="935"/>
      </w:pPr>
    </w:lvl>
    <w:lvl w:ilvl="6" w:tentative="0">
      <w:start w:val="1"/>
      <w:numFmt w:val="decimal"/>
      <w:lvlText w:val="%1.%2.%3.%4.%5.%6.%7."/>
      <w:lvlJc w:val="left"/>
      <w:pPr>
        <w:ind w:left="3240" w:hanging="1080"/>
      </w:pPr>
    </w:lvl>
    <w:lvl w:ilvl="7" w:tentative="0">
      <w:start w:val="1"/>
      <w:numFmt w:val="decimal"/>
      <w:lvlText w:val="%1.%2.%3.%4.%5.%6.%7.%8."/>
      <w:lvlJc w:val="left"/>
      <w:pPr>
        <w:ind w:left="3744" w:hanging="1224"/>
      </w:pPr>
    </w:lvl>
    <w:lvl w:ilvl="8" w:tentative="0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2E907493"/>
    <w:multiLevelType w:val="multilevel"/>
    <w:tmpl w:val="2E907493"/>
    <w:lvl w:ilvl="0" w:tentative="0">
      <w:start w:val="1"/>
      <w:numFmt w:val="decimal"/>
      <w:pStyle w:val="27"/>
      <w:lvlText w:val="%1."/>
      <w:lvlJc w:val="left"/>
      <w:pPr>
        <w:tabs>
          <w:tab w:val="left" w:pos="720"/>
        </w:tabs>
        <w:ind w:left="720" w:hanging="720"/>
      </w:p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72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72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72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72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72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72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72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720"/>
      </w:pPr>
    </w:lvl>
  </w:abstractNum>
  <w:abstractNum w:abstractNumId="2">
    <w:nsid w:val="34097363"/>
    <w:multiLevelType w:val="multilevel"/>
    <w:tmpl w:val="34097363"/>
    <w:lvl w:ilvl="0" w:tentative="0">
      <w:start w:val="1"/>
      <w:numFmt w:val="decimal"/>
      <w:lvlText w:val="%1."/>
      <w:lvlJc w:val="left"/>
      <w:pPr>
        <w:ind w:left="360" w:hanging="360"/>
      </w:pPr>
      <w:rPr>
        <w:b/>
        <w:color w:val="000000"/>
      </w:rPr>
    </w:lvl>
    <w:lvl w:ilvl="1" w:tentative="0">
      <w:start w:val="1"/>
      <w:numFmt w:val="decimal"/>
      <w:lvlText w:val="%1.%2."/>
      <w:lvlJc w:val="left"/>
      <w:pPr>
        <w:ind w:left="432" w:hanging="432"/>
      </w:pPr>
      <w:rPr>
        <w:b w:val="0"/>
        <w:i w:val="0"/>
        <w:strike w:val="0"/>
        <w:color w:val="000000"/>
        <w:u w:val="none"/>
      </w:rPr>
    </w:lvl>
    <w:lvl w:ilvl="2" w:tentative="0">
      <w:start w:val="1"/>
      <w:numFmt w:val="decimal"/>
      <w:lvlText w:val="%1.%2.%3."/>
      <w:lvlJc w:val="left"/>
      <w:pPr>
        <w:ind w:left="1072" w:hanging="504"/>
      </w:pPr>
      <w:rPr>
        <w:b w:val="0"/>
        <w:i w:val="0"/>
        <w:color w:val="000000"/>
        <w:sz w:val="24"/>
        <w:szCs w:val="24"/>
      </w:rPr>
    </w:lvl>
    <w:lvl w:ilvl="3" w:tentative="0">
      <w:start w:val="1"/>
      <w:numFmt w:val="decimal"/>
      <w:lvlText w:val="%1.%2.%3.%4."/>
      <w:lvlJc w:val="left"/>
      <w:pPr>
        <w:ind w:left="2491" w:hanging="648"/>
      </w:pPr>
      <w:rPr>
        <w:color w:val="000000"/>
      </w:rPr>
    </w:lvl>
    <w:lvl w:ilvl="4" w:tentative="0">
      <w:start w:val="1"/>
      <w:numFmt w:val="decimal"/>
      <w:lvlText w:val="%1.%2.%3.%4.%5."/>
      <w:lvlJc w:val="left"/>
      <w:pPr>
        <w:ind w:left="2232" w:hanging="792"/>
      </w:pPr>
    </w:lvl>
    <w:lvl w:ilvl="5" w:tentative="0">
      <w:start w:val="1"/>
      <w:numFmt w:val="decimal"/>
      <w:lvlText w:val="%1.%2.%3.%4.%5.%6."/>
      <w:lvlJc w:val="left"/>
      <w:pPr>
        <w:ind w:left="2736" w:hanging="935"/>
      </w:pPr>
    </w:lvl>
    <w:lvl w:ilvl="6" w:tentative="0">
      <w:start w:val="1"/>
      <w:numFmt w:val="decimal"/>
      <w:lvlText w:val="%1.%2.%3.%4.%5.%6.%7."/>
      <w:lvlJc w:val="left"/>
      <w:pPr>
        <w:ind w:left="3240" w:hanging="1080"/>
      </w:pPr>
    </w:lvl>
    <w:lvl w:ilvl="7" w:tentative="0">
      <w:start w:val="1"/>
      <w:numFmt w:val="decimal"/>
      <w:lvlText w:val="%1.%2.%3.%4.%5.%6.%7.%8."/>
      <w:lvlJc w:val="left"/>
      <w:pPr>
        <w:ind w:left="3744" w:hanging="1224"/>
      </w:pPr>
    </w:lvl>
    <w:lvl w:ilvl="8" w:tentative="0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35C44E17"/>
    <w:multiLevelType w:val="multilevel"/>
    <w:tmpl w:val="35C44E17"/>
    <w:lvl w:ilvl="0" w:tentative="0">
      <w:start w:val="1"/>
      <w:numFmt w:val="decimal"/>
      <w:lvlText w:val="%1."/>
      <w:lvlJc w:val="left"/>
      <w:pPr>
        <w:ind w:left="360" w:hanging="360"/>
      </w:pPr>
      <w:rPr>
        <w:b/>
        <w:color w:val="000000"/>
      </w:rPr>
    </w:lvl>
    <w:lvl w:ilvl="1" w:tentative="0">
      <w:start w:val="4"/>
      <w:numFmt w:val="decimal"/>
      <w:lvlText w:val="%1.%2."/>
      <w:lvlJc w:val="left"/>
      <w:pPr>
        <w:ind w:left="432" w:hanging="432"/>
      </w:pPr>
      <w:rPr>
        <w:b w:val="0"/>
        <w:i w:val="0"/>
        <w:strike w:val="0"/>
        <w:color w:val="000000"/>
        <w:u w:val="none"/>
      </w:rPr>
    </w:lvl>
    <w:lvl w:ilvl="2" w:tentative="0">
      <w:start w:val="1"/>
      <w:numFmt w:val="decimal"/>
      <w:lvlText w:val="%1.%2.%3."/>
      <w:lvlJc w:val="left"/>
      <w:pPr>
        <w:ind w:left="1072" w:hanging="504"/>
      </w:pPr>
      <w:rPr>
        <w:b w:val="0"/>
        <w:i w:val="0"/>
        <w:color w:val="000000"/>
        <w:sz w:val="24"/>
        <w:szCs w:val="24"/>
      </w:rPr>
    </w:lvl>
    <w:lvl w:ilvl="3" w:tentative="0">
      <w:start w:val="1"/>
      <w:numFmt w:val="decimal"/>
      <w:lvlText w:val="%1.%2.%3.%4."/>
      <w:lvlJc w:val="left"/>
      <w:pPr>
        <w:ind w:left="2491" w:hanging="648"/>
      </w:pPr>
      <w:rPr>
        <w:color w:val="000000"/>
      </w:rPr>
    </w:lvl>
    <w:lvl w:ilvl="4" w:tentative="0">
      <w:start w:val="1"/>
      <w:numFmt w:val="decimal"/>
      <w:lvlText w:val="%1.%2.%3.%4.%5."/>
      <w:lvlJc w:val="left"/>
      <w:pPr>
        <w:ind w:left="2232" w:hanging="792"/>
      </w:pPr>
    </w:lvl>
    <w:lvl w:ilvl="5" w:tentative="0">
      <w:start w:val="1"/>
      <w:numFmt w:val="decimal"/>
      <w:lvlText w:val="%1.%2.%3.%4.%5.%6."/>
      <w:lvlJc w:val="left"/>
      <w:pPr>
        <w:ind w:left="2736" w:hanging="935"/>
      </w:pPr>
    </w:lvl>
    <w:lvl w:ilvl="6" w:tentative="0">
      <w:start w:val="1"/>
      <w:numFmt w:val="decimal"/>
      <w:lvlText w:val="%1.%2.%3.%4.%5.%6.%7."/>
      <w:lvlJc w:val="left"/>
      <w:pPr>
        <w:ind w:left="3240" w:hanging="1080"/>
      </w:pPr>
    </w:lvl>
    <w:lvl w:ilvl="7" w:tentative="0">
      <w:start w:val="1"/>
      <w:numFmt w:val="decimal"/>
      <w:lvlText w:val="%1.%2.%3.%4.%5.%6.%7.%8."/>
      <w:lvlJc w:val="left"/>
      <w:pPr>
        <w:ind w:left="3744" w:hanging="1224"/>
      </w:pPr>
    </w:lvl>
    <w:lvl w:ilvl="8" w:tentative="0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49B30BB2"/>
    <w:multiLevelType w:val="multilevel"/>
    <w:tmpl w:val="49B30BB2"/>
    <w:lvl w:ilvl="0" w:tentative="0">
      <w:start w:val="3"/>
      <w:numFmt w:val="decimal"/>
      <w:lvlText w:val="%1."/>
      <w:lvlJc w:val="left"/>
      <w:pPr>
        <w:ind w:left="360" w:hanging="360"/>
      </w:pPr>
      <w:rPr>
        <w:b/>
        <w:color w:val="000000"/>
      </w:rPr>
    </w:lvl>
    <w:lvl w:ilvl="1" w:tentative="0">
      <w:start w:val="1"/>
      <w:numFmt w:val="decimal"/>
      <w:lvlText w:val="%1.%2."/>
      <w:lvlJc w:val="left"/>
      <w:pPr>
        <w:ind w:left="432" w:hanging="432"/>
      </w:pPr>
      <w:rPr>
        <w:b w:val="0"/>
        <w:i w:val="0"/>
        <w:strike w:val="0"/>
        <w:color w:val="000000"/>
        <w:u w:val="none"/>
      </w:rPr>
    </w:lvl>
    <w:lvl w:ilvl="2" w:tentative="0">
      <w:start w:val="1"/>
      <w:numFmt w:val="decimal"/>
      <w:lvlText w:val="%1.%2.%3."/>
      <w:lvlJc w:val="left"/>
      <w:pPr>
        <w:ind w:left="1072" w:hanging="504"/>
      </w:pPr>
      <w:rPr>
        <w:b w:val="0"/>
        <w:i w:val="0"/>
        <w:color w:val="000000"/>
        <w:sz w:val="24"/>
        <w:szCs w:val="24"/>
      </w:rPr>
    </w:lvl>
    <w:lvl w:ilvl="3" w:tentative="0">
      <w:start w:val="1"/>
      <w:numFmt w:val="decimal"/>
      <w:lvlText w:val="%1.%2.%3.%4."/>
      <w:lvlJc w:val="left"/>
      <w:pPr>
        <w:ind w:left="2491" w:hanging="648"/>
      </w:pPr>
      <w:rPr>
        <w:color w:val="000000"/>
      </w:rPr>
    </w:lvl>
    <w:lvl w:ilvl="4" w:tentative="0">
      <w:start w:val="1"/>
      <w:numFmt w:val="decimal"/>
      <w:lvlText w:val="%1.%2.%3.%4.%5."/>
      <w:lvlJc w:val="left"/>
      <w:pPr>
        <w:ind w:left="2232" w:hanging="792"/>
      </w:pPr>
    </w:lvl>
    <w:lvl w:ilvl="5" w:tentative="0">
      <w:start w:val="1"/>
      <w:numFmt w:val="decimal"/>
      <w:lvlText w:val="%1.%2.%3.%4.%5.%6."/>
      <w:lvlJc w:val="left"/>
      <w:pPr>
        <w:ind w:left="2736" w:hanging="935"/>
      </w:pPr>
    </w:lvl>
    <w:lvl w:ilvl="6" w:tentative="0">
      <w:start w:val="1"/>
      <w:numFmt w:val="decimal"/>
      <w:lvlText w:val="%1.%2.%3.%4.%5.%6.%7."/>
      <w:lvlJc w:val="left"/>
      <w:pPr>
        <w:ind w:left="3240" w:hanging="1080"/>
      </w:pPr>
    </w:lvl>
    <w:lvl w:ilvl="7" w:tentative="0">
      <w:start w:val="1"/>
      <w:numFmt w:val="decimal"/>
      <w:lvlText w:val="%1.%2.%3.%4.%5.%6.%7.%8."/>
      <w:lvlJc w:val="left"/>
      <w:pPr>
        <w:ind w:left="3744" w:hanging="1224"/>
      </w:pPr>
    </w:lvl>
    <w:lvl w:ilvl="8" w:tentative="0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2EC8"/>
    <w:rsid w:val="00014AEE"/>
    <w:rsid w:val="0004255F"/>
    <w:rsid w:val="0004473F"/>
    <w:rsid w:val="0008309C"/>
    <w:rsid w:val="000C4ABF"/>
    <w:rsid w:val="00101E6D"/>
    <w:rsid w:val="001301FF"/>
    <w:rsid w:val="001524FE"/>
    <w:rsid w:val="00173C13"/>
    <w:rsid w:val="001C034A"/>
    <w:rsid w:val="001C180F"/>
    <w:rsid w:val="00231F18"/>
    <w:rsid w:val="00236FC0"/>
    <w:rsid w:val="00245AB5"/>
    <w:rsid w:val="00252EC8"/>
    <w:rsid w:val="00262054"/>
    <w:rsid w:val="002B0A4F"/>
    <w:rsid w:val="002E113D"/>
    <w:rsid w:val="0031629A"/>
    <w:rsid w:val="00330200"/>
    <w:rsid w:val="00333DA6"/>
    <w:rsid w:val="003415F1"/>
    <w:rsid w:val="003522CC"/>
    <w:rsid w:val="00360675"/>
    <w:rsid w:val="003F1025"/>
    <w:rsid w:val="00414B83"/>
    <w:rsid w:val="00450BAE"/>
    <w:rsid w:val="0047488F"/>
    <w:rsid w:val="004E3232"/>
    <w:rsid w:val="004F003F"/>
    <w:rsid w:val="00523CC1"/>
    <w:rsid w:val="00526861"/>
    <w:rsid w:val="00582558"/>
    <w:rsid w:val="005C366C"/>
    <w:rsid w:val="006E49D7"/>
    <w:rsid w:val="00731A41"/>
    <w:rsid w:val="00733B02"/>
    <w:rsid w:val="007601B5"/>
    <w:rsid w:val="00762668"/>
    <w:rsid w:val="007806F7"/>
    <w:rsid w:val="00784F7A"/>
    <w:rsid w:val="007F0DE5"/>
    <w:rsid w:val="008074DC"/>
    <w:rsid w:val="008103D7"/>
    <w:rsid w:val="0081055B"/>
    <w:rsid w:val="0085467A"/>
    <w:rsid w:val="008604EB"/>
    <w:rsid w:val="00862A65"/>
    <w:rsid w:val="00876A04"/>
    <w:rsid w:val="00881634"/>
    <w:rsid w:val="008928F4"/>
    <w:rsid w:val="00896DD6"/>
    <w:rsid w:val="008A1E71"/>
    <w:rsid w:val="008E1C79"/>
    <w:rsid w:val="008E317B"/>
    <w:rsid w:val="008E6ACC"/>
    <w:rsid w:val="00901A20"/>
    <w:rsid w:val="00911114"/>
    <w:rsid w:val="00912BAC"/>
    <w:rsid w:val="009262BF"/>
    <w:rsid w:val="009518FB"/>
    <w:rsid w:val="00A26BB8"/>
    <w:rsid w:val="00A32D94"/>
    <w:rsid w:val="00A551E6"/>
    <w:rsid w:val="00A66DF9"/>
    <w:rsid w:val="00AF415F"/>
    <w:rsid w:val="00B04033"/>
    <w:rsid w:val="00B10213"/>
    <w:rsid w:val="00B11CCA"/>
    <w:rsid w:val="00B87D7D"/>
    <w:rsid w:val="00BC0776"/>
    <w:rsid w:val="00BD7E2E"/>
    <w:rsid w:val="00C202CB"/>
    <w:rsid w:val="00C238D8"/>
    <w:rsid w:val="00C25E67"/>
    <w:rsid w:val="00C25F15"/>
    <w:rsid w:val="00C41FBD"/>
    <w:rsid w:val="00C70B67"/>
    <w:rsid w:val="00C80E95"/>
    <w:rsid w:val="00CA4DE1"/>
    <w:rsid w:val="00D00DD7"/>
    <w:rsid w:val="00D17C9B"/>
    <w:rsid w:val="00D554F7"/>
    <w:rsid w:val="00D55E25"/>
    <w:rsid w:val="00D57B56"/>
    <w:rsid w:val="00DA6CAA"/>
    <w:rsid w:val="00DB15D3"/>
    <w:rsid w:val="00DB713D"/>
    <w:rsid w:val="00DC2AB7"/>
    <w:rsid w:val="00E01BF8"/>
    <w:rsid w:val="00E1069E"/>
    <w:rsid w:val="00E47796"/>
    <w:rsid w:val="00E5448A"/>
    <w:rsid w:val="00E61508"/>
    <w:rsid w:val="00EB4429"/>
    <w:rsid w:val="00EC0E3F"/>
    <w:rsid w:val="00F46A23"/>
    <w:rsid w:val="00F80D02"/>
    <w:rsid w:val="00F94560"/>
    <w:rsid w:val="00FB008D"/>
    <w:rsid w:val="00FE7A3D"/>
    <w:rsid w:val="00FF2526"/>
    <w:rsid w:val="4C9F3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  <w:lsdException w:qFormat="1" w:unhideWhenUsed="0" w:uiPriority="29" w:semiHidden="0" w:name="Quot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="Calibri" w:hAnsi="Calibri" w:eastAsia="Calibri" w:cs="Calibri"/>
      <w:sz w:val="22"/>
      <w:szCs w:val="22"/>
      <w:lang w:val="pt-BR" w:eastAsia="pt-BR" w:bidi="ar-SA"/>
    </w:rPr>
  </w:style>
  <w:style w:type="paragraph" w:styleId="2">
    <w:name w:val="heading 1"/>
    <w:basedOn w:val="1"/>
    <w:next w:val="1"/>
    <w:link w:val="29"/>
    <w:qFormat/>
    <w:uiPriority w:val="9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F5597" w:themeColor="accent1" w:themeShade="BF"/>
      <w:sz w:val="32"/>
      <w:szCs w:val="32"/>
    </w:rPr>
  </w:style>
  <w:style w:type="paragraph" w:styleId="3">
    <w:name w:val="heading 2"/>
    <w:basedOn w:val="1"/>
    <w:next w:val="1"/>
    <w:semiHidden/>
    <w:unhideWhenUsed/>
    <w:qFormat/>
    <w:uiPriority w:val="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4">
    <w:name w:val="heading 3"/>
    <w:basedOn w:val="1"/>
    <w:next w:val="1"/>
    <w:link w:val="59"/>
    <w:semiHidden/>
    <w:unhideWhenUsed/>
    <w:qFormat/>
    <w:uiPriority w:val="9"/>
    <w:pPr>
      <w:keepNext/>
      <w:keepLines/>
      <w:spacing w:before="40" w:after="0"/>
      <w:outlineLvl w:val="2"/>
    </w:pPr>
    <w:rPr>
      <w:rFonts w:asciiTheme="majorHAnsi" w:hAnsiTheme="majorHAnsi" w:eastAsiaTheme="majorEastAsia" w:cstheme="majorBidi"/>
      <w:color w:val="203864" w:themeColor="accent1" w:themeShade="80"/>
      <w:sz w:val="24"/>
      <w:szCs w:val="24"/>
    </w:rPr>
  </w:style>
  <w:style w:type="paragraph" w:styleId="5">
    <w:name w:val="heading 4"/>
    <w:basedOn w:val="1"/>
    <w:next w:val="1"/>
    <w:semiHidden/>
    <w:unhideWhenUsed/>
    <w:qFormat/>
    <w:uiPriority w:val="9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6">
    <w:name w:val="heading 5"/>
    <w:basedOn w:val="1"/>
    <w:next w:val="1"/>
    <w:semiHidden/>
    <w:unhideWhenUsed/>
    <w:qFormat/>
    <w:uiPriority w:val="9"/>
    <w:pPr>
      <w:keepNext/>
      <w:keepLines/>
      <w:spacing w:before="220" w:after="40"/>
      <w:outlineLvl w:val="4"/>
    </w:pPr>
    <w:rPr>
      <w:b/>
    </w:rPr>
  </w:style>
  <w:style w:type="paragraph" w:styleId="7">
    <w:name w:val="heading 6"/>
    <w:basedOn w:val="1"/>
    <w:next w:val="1"/>
    <w:link w:val="39"/>
    <w:semiHidden/>
    <w:unhideWhenUsed/>
    <w:qFormat/>
    <w:uiPriority w:val="9"/>
    <w:pPr>
      <w:keepNext/>
      <w:keepLines/>
      <w:spacing w:before="40" w:after="0"/>
      <w:outlineLvl w:val="5"/>
    </w:pPr>
    <w:rPr>
      <w:rFonts w:asciiTheme="majorHAnsi" w:hAnsiTheme="majorHAnsi" w:eastAsiaTheme="majorEastAsia" w:cstheme="majorBidi"/>
      <w:color w:val="203864" w:themeColor="accent1" w:themeShade="80"/>
    </w:rPr>
  </w:style>
  <w:style w:type="character" w:default="1" w:styleId="8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Strong"/>
    <w:basedOn w:val="8"/>
    <w:qFormat/>
    <w:uiPriority w:val="22"/>
    <w:rPr>
      <w:b/>
      <w:bCs/>
    </w:rPr>
  </w:style>
  <w:style w:type="character" w:styleId="11">
    <w:name w:val="annotation reference"/>
    <w:basedOn w:val="8"/>
    <w:unhideWhenUsed/>
    <w:qFormat/>
    <w:uiPriority w:val="99"/>
    <w:rPr>
      <w:sz w:val="16"/>
      <w:szCs w:val="16"/>
    </w:rPr>
  </w:style>
  <w:style w:type="character" w:styleId="12">
    <w:name w:val="FollowedHyperlink"/>
    <w:basedOn w:val="8"/>
    <w:semiHidden/>
    <w:unhideWhenUsed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13">
    <w:name w:val="Hyperlink"/>
    <w:unhideWhenUsed/>
    <w:uiPriority w:val="0"/>
    <w:rPr>
      <w:color w:val="000080"/>
      <w:u w:val="single"/>
    </w:rPr>
  </w:style>
  <w:style w:type="paragraph" w:styleId="14">
    <w:name w:val="annotation text"/>
    <w:basedOn w:val="1"/>
    <w:link w:val="34"/>
    <w:unhideWhenUsed/>
    <w:qFormat/>
    <w:uiPriority w:val="99"/>
    <w:pPr>
      <w:spacing w:line="240" w:lineRule="auto"/>
    </w:pPr>
    <w:rPr>
      <w:sz w:val="20"/>
      <w:szCs w:val="20"/>
    </w:rPr>
  </w:style>
  <w:style w:type="paragraph" w:styleId="15">
    <w:name w:val="Title"/>
    <w:basedOn w:val="1"/>
    <w:next w:val="1"/>
    <w:qFormat/>
    <w:uiPriority w:val="10"/>
    <w:pPr>
      <w:keepNext/>
      <w:keepLines/>
      <w:spacing w:before="480" w:after="120"/>
    </w:pPr>
    <w:rPr>
      <w:b/>
      <w:sz w:val="72"/>
      <w:szCs w:val="72"/>
    </w:rPr>
  </w:style>
  <w:style w:type="paragraph" w:styleId="16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17">
    <w:name w:val="header"/>
    <w:basedOn w:val="1"/>
    <w:link w:val="56"/>
    <w:unhideWhenUsed/>
    <w:uiPriority w:val="99"/>
    <w:pPr>
      <w:tabs>
        <w:tab w:val="center" w:pos="4252"/>
        <w:tab w:val="right" w:pos="8504"/>
      </w:tabs>
      <w:spacing w:after="0" w:line="240" w:lineRule="auto"/>
    </w:pPr>
  </w:style>
  <w:style w:type="paragraph" w:styleId="18">
    <w:name w:val="annotation subject"/>
    <w:basedOn w:val="14"/>
    <w:next w:val="14"/>
    <w:link w:val="35"/>
    <w:semiHidden/>
    <w:unhideWhenUsed/>
    <w:uiPriority w:val="99"/>
    <w:rPr>
      <w:b/>
      <w:bCs/>
    </w:rPr>
  </w:style>
  <w:style w:type="paragraph" w:styleId="19">
    <w:name w:val="footer"/>
    <w:basedOn w:val="1"/>
    <w:link w:val="57"/>
    <w:unhideWhenUsed/>
    <w:uiPriority w:val="99"/>
    <w:pPr>
      <w:tabs>
        <w:tab w:val="center" w:pos="4252"/>
        <w:tab w:val="right" w:pos="8504"/>
      </w:tabs>
      <w:spacing w:after="0" w:line="240" w:lineRule="auto"/>
    </w:pPr>
  </w:style>
  <w:style w:type="paragraph" w:styleId="20">
    <w:name w:val="Balloon Text"/>
    <w:basedOn w:val="1"/>
    <w:link w:val="44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21">
    <w:name w:val="Subtitle"/>
    <w:basedOn w:val="1"/>
    <w:next w:val="1"/>
    <w:qFormat/>
    <w:uiPriority w:val="11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22">
    <w:name w:val="Table Grid"/>
    <w:basedOn w:val="9"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Table Normal"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24">
    <w:name w:val="Quote"/>
    <w:basedOn w:val="1"/>
    <w:next w:val="1"/>
    <w:link w:val="25"/>
    <w:qFormat/>
    <w:uiPriority w:val="29"/>
    <w:pPr>
      <w:pBdr>
        <w:top w:val="single" w:color="1F497D" w:sz="4" w:space="1"/>
        <w:left w:val="single" w:color="1F497D" w:sz="4" w:space="4"/>
        <w:bottom w:val="single" w:color="1F497D" w:sz="4" w:space="1"/>
        <w:right w:val="single" w:color="1F497D" w:sz="4" w:space="4"/>
      </w:pBdr>
      <w:shd w:val="clear" w:color="auto" w:fill="FFFFCC"/>
      <w:spacing w:before="120" w:after="0" w:line="240" w:lineRule="auto"/>
      <w:jc w:val="both"/>
    </w:pPr>
    <w:rPr>
      <w:rFonts w:ascii="Arial" w:hAnsi="Arial" w:cs="Tahoma"/>
      <w:i/>
      <w:iCs/>
      <w:color w:val="000000"/>
      <w:sz w:val="20"/>
      <w:szCs w:val="24"/>
    </w:rPr>
  </w:style>
  <w:style w:type="character" w:customStyle="1" w:styleId="25">
    <w:name w:val="Citação Char"/>
    <w:basedOn w:val="8"/>
    <w:link w:val="24"/>
    <w:uiPriority w:val="29"/>
    <w:rPr>
      <w:rFonts w:ascii="Arial" w:hAnsi="Arial" w:eastAsia="Calibri" w:cs="Tahoma"/>
      <w:i/>
      <w:iCs/>
      <w:color w:val="000000"/>
      <w:sz w:val="20"/>
      <w:szCs w:val="24"/>
      <w:shd w:val="clear" w:color="auto" w:fill="FFFFCC"/>
    </w:rPr>
  </w:style>
  <w:style w:type="character" w:customStyle="1" w:styleId="26">
    <w:name w:val="Nivel1 Char"/>
    <w:basedOn w:val="8"/>
    <w:link w:val="27"/>
    <w:locked/>
    <w:uiPriority w:val="0"/>
    <w:rPr>
      <w:rFonts w:ascii="Arial" w:hAnsi="Arial" w:cs="Arial" w:eastAsiaTheme="majorEastAsia"/>
      <w:b/>
      <w:color w:val="000000"/>
      <w:sz w:val="32"/>
      <w:szCs w:val="32"/>
    </w:rPr>
  </w:style>
  <w:style w:type="paragraph" w:customStyle="1" w:styleId="27">
    <w:name w:val="Nivel1"/>
    <w:basedOn w:val="2"/>
    <w:next w:val="1"/>
    <w:link w:val="26"/>
    <w:qFormat/>
    <w:uiPriority w:val="0"/>
    <w:pPr>
      <w:numPr>
        <w:ilvl w:val="0"/>
        <w:numId w:val="1"/>
      </w:numPr>
      <w:spacing w:before="480" w:after="120" w:line="276" w:lineRule="auto"/>
      <w:jc w:val="both"/>
    </w:pPr>
    <w:rPr>
      <w:rFonts w:ascii="Arial" w:hAnsi="Arial" w:cs="Arial"/>
      <w:b/>
      <w:color w:val="000000"/>
    </w:rPr>
  </w:style>
  <w:style w:type="paragraph" w:styleId="28">
    <w:name w:val="List Paragraph"/>
    <w:basedOn w:val="1"/>
    <w:qFormat/>
    <w:uiPriority w:val="34"/>
    <w:pPr>
      <w:ind w:left="720"/>
      <w:contextualSpacing/>
    </w:pPr>
  </w:style>
  <w:style w:type="character" w:customStyle="1" w:styleId="29">
    <w:name w:val="Título 1 Char"/>
    <w:basedOn w:val="8"/>
    <w:link w:val="2"/>
    <w:uiPriority w:val="9"/>
    <w:rPr>
      <w:rFonts w:asciiTheme="majorHAnsi" w:hAnsiTheme="majorHAnsi" w:eastAsiaTheme="majorEastAsia" w:cstheme="majorBidi"/>
      <w:color w:val="2F5597" w:themeColor="accent1" w:themeShade="BF"/>
      <w:sz w:val="32"/>
      <w:szCs w:val="32"/>
    </w:rPr>
  </w:style>
  <w:style w:type="paragraph" w:customStyle="1" w:styleId="30">
    <w:name w:val="Sombreamento Médio 1 - Ênfase 31"/>
    <w:basedOn w:val="1"/>
    <w:next w:val="1"/>
    <w:uiPriority w:val="0"/>
    <w:pPr>
      <w:pBdr>
        <w:top w:val="single" w:color="000080" w:sz="4" w:space="1"/>
        <w:left w:val="single" w:color="000080" w:sz="4" w:space="4"/>
        <w:bottom w:val="single" w:color="000080" w:sz="4" w:space="1"/>
        <w:right w:val="single" w:color="000080" w:sz="4" w:space="4"/>
      </w:pBdr>
      <w:shd w:val="clear" w:color="auto" w:fill="FFFFCC"/>
      <w:suppressAutoHyphens/>
      <w:spacing w:before="120" w:after="0" w:line="240" w:lineRule="auto"/>
      <w:jc w:val="both"/>
    </w:pPr>
    <w:rPr>
      <w:rFonts w:ascii="Ecofont_Spranq_eco_Sans" w:hAnsi="Ecofont_Spranq_eco_Sans" w:cs="Tahoma"/>
      <w:i/>
      <w:iCs/>
      <w:color w:val="000000"/>
      <w:sz w:val="20"/>
      <w:szCs w:val="24"/>
      <w:lang w:eastAsia="zh-CN"/>
    </w:rPr>
  </w:style>
  <w:style w:type="character" w:customStyle="1" w:styleId="31">
    <w:name w:val="normal__char1"/>
    <w:uiPriority w:val="0"/>
    <w:rPr>
      <w:rFonts w:hint="default" w:ascii="Arial" w:hAnsi="Arial" w:cs="Arial"/>
      <w:sz w:val="24"/>
      <w:szCs w:val="24"/>
      <w:u w:val="none"/>
    </w:rPr>
  </w:style>
  <w:style w:type="paragraph" w:customStyle="1" w:styleId="32">
    <w:name w:val="corpo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customStyle="1" w:styleId="33">
    <w:name w:val="Menção Pendente1"/>
    <w:basedOn w:val="8"/>
    <w:semiHidden/>
    <w:unhideWhenUsed/>
    <w:uiPriority w:val="99"/>
    <w:rPr>
      <w:color w:val="605E5C"/>
      <w:shd w:val="clear" w:color="auto" w:fill="E1DFDD"/>
    </w:rPr>
  </w:style>
  <w:style w:type="character" w:customStyle="1" w:styleId="34">
    <w:name w:val="Texto de comentário Char"/>
    <w:basedOn w:val="8"/>
    <w:link w:val="14"/>
    <w:uiPriority w:val="99"/>
    <w:rPr>
      <w:sz w:val="20"/>
      <w:szCs w:val="20"/>
    </w:rPr>
  </w:style>
  <w:style w:type="character" w:customStyle="1" w:styleId="35">
    <w:name w:val="Assunto do comentário Char"/>
    <w:basedOn w:val="34"/>
    <w:link w:val="18"/>
    <w:semiHidden/>
    <w:uiPriority w:val="99"/>
    <w:rPr>
      <w:b/>
      <w:bCs/>
      <w:sz w:val="20"/>
      <w:szCs w:val="20"/>
    </w:rPr>
  </w:style>
  <w:style w:type="paragraph" w:customStyle="1" w:styleId="36">
    <w:name w:val="item_nivel2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customStyle="1" w:styleId="37">
    <w:name w:val="item_nivel1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customStyle="1" w:styleId="38">
    <w:name w:val="item_alinea_letra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customStyle="1" w:styleId="39">
    <w:name w:val="Título 6 Char"/>
    <w:basedOn w:val="8"/>
    <w:link w:val="7"/>
    <w:semiHidden/>
    <w:uiPriority w:val="9"/>
    <w:rPr>
      <w:rFonts w:asciiTheme="majorHAnsi" w:hAnsiTheme="majorHAnsi" w:eastAsiaTheme="majorEastAsia" w:cstheme="majorBidi"/>
      <w:color w:val="203864" w:themeColor="accent1" w:themeShade="80"/>
    </w:rPr>
  </w:style>
  <w:style w:type="character" w:customStyle="1" w:styleId="40">
    <w:name w:val="Quote Char"/>
    <w:link w:val="41"/>
    <w:locked/>
    <w:uiPriority w:val="0"/>
    <w:rPr>
      <w:rFonts w:ascii="Ecofont_Spranq_eco_Sans" w:hAnsi="Ecofont_Spranq_eco_Sans" w:cs="Ecofont_Spranq_eco_Sans"/>
      <w:i/>
      <w:iCs/>
      <w:color w:val="000000"/>
      <w:sz w:val="24"/>
      <w:szCs w:val="24"/>
      <w:shd w:val="clear" w:color="auto" w:fill="FFFFCC"/>
    </w:rPr>
  </w:style>
  <w:style w:type="paragraph" w:customStyle="1" w:styleId="41">
    <w:name w:val="Citação1"/>
    <w:basedOn w:val="1"/>
    <w:next w:val="1"/>
    <w:link w:val="40"/>
    <w:qFormat/>
    <w:uiPriority w:val="0"/>
    <w:pPr>
      <w:pBdr>
        <w:top w:val="single" w:color="1F497D" w:sz="4" w:space="1"/>
        <w:left w:val="single" w:color="1F497D" w:sz="4" w:space="4"/>
        <w:bottom w:val="single" w:color="1F497D" w:sz="4" w:space="1"/>
        <w:right w:val="single" w:color="1F497D" w:sz="4" w:space="4"/>
      </w:pBdr>
      <w:shd w:val="clear" w:color="auto" w:fill="FFFFCC"/>
      <w:spacing w:before="120" w:after="0" w:line="240" w:lineRule="auto"/>
      <w:jc w:val="both"/>
    </w:pPr>
    <w:rPr>
      <w:rFonts w:ascii="Ecofont_Spranq_eco_Sans" w:hAnsi="Ecofont_Spranq_eco_Sans" w:cs="Ecofont_Spranq_eco_Sans"/>
      <w:i/>
      <w:iCs/>
      <w:color w:val="000000"/>
      <w:sz w:val="24"/>
      <w:szCs w:val="24"/>
    </w:rPr>
  </w:style>
  <w:style w:type="character" w:customStyle="1" w:styleId="42">
    <w:name w:val="markedcontent"/>
    <w:basedOn w:val="8"/>
    <w:uiPriority w:val="0"/>
  </w:style>
  <w:style w:type="character" w:customStyle="1" w:styleId="43">
    <w:name w:val="highlight"/>
    <w:basedOn w:val="8"/>
    <w:uiPriority w:val="0"/>
  </w:style>
  <w:style w:type="character" w:customStyle="1" w:styleId="44">
    <w:name w:val="Texto de balão Char"/>
    <w:basedOn w:val="8"/>
    <w:link w:val="20"/>
    <w:semiHidden/>
    <w:uiPriority w:val="99"/>
    <w:rPr>
      <w:rFonts w:ascii="Segoe UI" w:hAnsi="Segoe UI" w:cs="Segoe UI"/>
      <w:sz w:val="18"/>
      <w:szCs w:val="18"/>
    </w:rPr>
  </w:style>
  <w:style w:type="character" w:customStyle="1" w:styleId="45">
    <w:name w:val="Menção Pendente2"/>
    <w:basedOn w:val="8"/>
    <w:semiHidden/>
    <w:unhideWhenUsed/>
    <w:uiPriority w:val="99"/>
    <w:rPr>
      <w:color w:val="605E5C"/>
      <w:shd w:val="clear" w:color="auto" w:fill="E1DFDD"/>
    </w:rPr>
  </w:style>
  <w:style w:type="paragraph" w:customStyle="1" w:styleId="46">
    <w:name w:val="Standard"/>
    <w:uiPriority w:val="0"/>
    <w:pPr>
      <w:suppressAutoHyphens/>
      <w:autoSpaceDN w:val="0"/>
      <w:spacing w:after="0" w:line="240" w:lineRule="auto"/>
    </w:pPr>
    <w:rPr>
      <w:rFonts w:ascii="Liberation Serif" w:hAnsi="Liberation Serif" w:eastAsia="NSimSun" w:cs="Lucida Sans"/>
      <w:kern w:val="3"/>
      <w:sz w:val="24"/>
      <w:szCs w:val="24"/>
      <w:lang w:val="pt-BR" w:eastAsia="zh-CN" w:bidi="hi-IN"/>
    </w:rPr>
  </w:style>
  <w:style w:type="paragraph" w:customStyle="1" w:styleId="47">
    <w:name w:val="Text body"/>
    <w:basedOn w:val="46"/>
    <w:uiPriority w:val="0"/>
    <w:pPr>
      <w:spacing w:after="140" w:line="276" w:lineRule="auto"/>
    </w:pPr>
  </w:style>
  <w:style w:type="paragraph" w:customStyle="1" w:styleId="48">
    <w:name w:val="citação 2"/>
    <w:basedOn w:val="24"/>
    <w:link w:val="55"/>
    <w:qFormat/>
    <w:uiPriority w:val="0"/>
    <w:pPr>
      <w:suppressAutoHyphens/>
      <w:autoSpaceDN w:val="0"/>
    </w:pPr>
    <w:rPr>
      <w:kern w:val="3"/>
      <w:szCs w:val="20"/>
      <w:lang w:eastAsia="zh-CN" w:bidi="hi-IN"/>
    </w:rPr>
  </w:style>
  <w:style w:type="character" w:customStyle="1" w:styleId="49">
    <w:name w:val="Nivel 2 Char"/>
    <w:basedOn w:val="8"/>
    <w:link w:val="50"/>
    <w:locked/>
    <w:uiPriority w:val="0"/>
    <w:rPr>
      <w:rFonts w:ascii="Arial" w:hAnsi="Arial" w:cs="Arial"/>
      <w:color w:val="000000"/>
    </w:rPr>
  </w:style>
  <w:style w:type="paragraph" w:customStyle="1" w:styleId="50">
    <w:name w:val="Nivel 2"/>
    <w:basedOn w:val="1"/>
    <w:link w:val="49"/>
    <w:qFormat/>
    <w:uiPriority w:val="0"/>
    <w:pPr>
      <w:spacing w:before="120" w:after="120" w:line="276" w:lineRule="auto"/>
      <w:jc w:val="both"/>
    </w:pPr>
    <w:rPr>
      <w:rFonts w:ascii="Arial" w:hAnsi="Arial" w:cs="Arial"/>
      <w:color w:val="000000"/>
    </w:rPr>
  </w:style>
  <w:style w:type="paragraph" w:customStyle="1" w:styleId="51">
    <w:name w:val="Nivel 3"/>
    <w:basedOn w:val="28"/>
    <w:qFormat/>
    <w:uiPriority w:val="0"/>
    <w:pPr>
      <w:tabs>
        <w:tab w:val="left" w:pos="360"/>
      </w:tabs>
      <w:spacing w:before="120" w:after="120" w:line="276" w:lineRule="auto"/>
      <w:ind w:left="425"/>
      <w:jc w:val="both"/>
    </w:pPr>
    <w:rPr>
      <w:rFonts w:ascii="Arial" w:hAnsi="Arial" w:eastAsia="Times New Roman" w:cs="Arial"/>
      <w:sz w:val="20"/>
      <w:szCs w:val="20"/>
    </w:rPr>
  </w:style>
  <w:style w:type="paragraph" w:customStyle="1" w:styleId="52">
    <w:name w:val="Nivel 4"/>
    <w:basedOn w:val="51"/>
    <w:qFormat/>
    <w:uiPriority w:val="0"/>
    <w:pPr>
      <w:ind w:left="2491" w:hanging="648"/>
    </w:pPr>
  </w:style>
  <w:style w:type="paragraph" w:customStyle="1" w:styleId="53">
    <w:name w:val="Nivel 5"/>
    <w:basedOn w:val="52"/>
    <w:qFormat/>
    <w:uiPriority w:val="0"/>
    <w:pPr>
      <w:ind w:left="3485" w:hanging="792"/>
    </w:pPr>
  </w:style>
  <w:style w:type="paragraph" w:customStyle="1" w:styleId="54">
    <w:name w:val="PADRÃO"/>
    <w:qFormat/>
    <w:uiPriority w:val="0"/>
    <w:pPr>
      <w:keepNext/>
      <w:widowControl w:val="0"/>
      <w:shd w:val="clear" w:color="auto" w:fill="FFFFFF"/>
      <w:suppressAutoHyphens/>
      <w:spacing w:before="119" w:after="119" w:line="276" w:lineRule="auto"/>
      <w:ind w:firstLine="567"/>
      <w:jc w:val="both"/>
    </w:pPr>
    <w:rPr>
      <w:rFonts w:ascii="Ecofont_Spranq_eco_Sans" w:hAnsi="Ecofont_Spranq_eco_Sans" w:eastAsia="WenQuanYi Micro Hei" w:cs="Lohit Hindi"/>
      <w:sz w:val="20"/>
      <w:szCs w:val="24"/>
      <w:lang w:val="pt-BR" w:eastAsia="zh-CN" w:bidi="hi-IN"/>
    </w:rPr>
  </w:style>
  <w:style w:type="character" w:customStyle="1" w:styleId="55">
    <w:name w:val="citação 2 Char"/>
    <w:basedOn w:val="25"/>
    <w:link w:val="48"/>
    <w:uiPriority w:val="0"/>
    <w:rPr>
      <w:rFonts w:ascii="Arial" w:hAnsi="Arial" w:eastAsia="Calibri" w:cs="Tahoma"/>
      <w:color w:val="000000"/>
      <w:kern w:val="3"/>
      <w:sz w:val="20"/>
      <w:szCs w:val="20"/>
      <w:shd w:val="clear" w:color="auto" w:fill="FFFFCC"/>
      <w:lang w:eastAsia="zh-CN" w:bidi="hi-IN"/>
    </w:rPr>
  </w:style>
  <w:style w:type="character" w:customStyle="1" w:styleId="56">
    <w:name w:val="Cabeçalho Char"/>
    <w:basedOn w:val="8"/>
    <w:link w:val="17"/>
    <w:uiPriority w:val="99"/>
  </w:style>
  <w:style w:type="character" w:customStyle="1" w:styleId="57">
    <w:name w:val="Rodapé Char"/>
    <w:basedOn w:val="8"/>
    <w:link w:val="19"/>
    <w:uiPriority w:val="99"/>
  </w:style>
  <w:style w:type="character" w:customStyle="1" w:styleId="58">
    <w:name w:val="Menção Pendente3"/>
    <w:basedOn w:val="8"/>
    <w:semiHidden/>
    <w:unhideWhenUsed/>
    <w:uiPriority w:val="99"/>
    <w:rPr>
      <w:color w:val="605E5C"/>
      <w:shd w:val="clear" w:color="auto" w:fill="E1DFDD"/>
    </w:rPr>
  </w:style>
  <w:style w:type="character" w:customStyle="1" w:styleId="59">
    <w:name w:val="Título 3 Char"/>
    <w:basedOn w:val="8"/>
    <w:link w:val="4"/>
    <w:semiHidden/>
    <w:uiPriority w:val="9"/>
    <w:rPr>
      <w:rFonts w:asciiTheme="majorHAnsi" w:hAnsiTheme="majorHAnsi" w:eastAsiaTheme="majorEastAsia" w:cstheme="majorBidi"/>
      <w:color w:val="203864" w:themeColor="accent1" w:themeShade="80"/>
      <w:sz w:val="24"/>
      <w:szCs w:val="24"/>
    </w:rPr>
  </w:style>
  <w:style w:type="character" w:customStyle="1" w:styleId="60">
    <w:name w:val="Menção Pendente4"/>
    <w:basedOn w:val="8"/>
    <w:semiHidden/>
    <w:unhideWhenUsed/>
    <w:uiPriority w:val="99"/>
    <w:rPr>
      <w:color w:val="605E5C"/>
      <w:shd w:val="clear" w:color="auto" w:fill="E1DFDD"/>
    </w:rPr>
  </w:style>
  <w:style w:type="paragraph" w:customStyle="1" w:styleId="61">
    <w:name w:val="Revision"/>
    <w:hidden/>
    <w:semiHidden/>
    <w:uiPriority w:val="99"/>
    <w:pPr>
      <w:spacing w:after="0" w:line="240" w:lineRule="auto"/>
    </w:pPr>
    <w:rPr>
      <w:rFonts w:ascii="Calibri" w:hAnsi="Calibri" w:eastAsia="Calibri" w:cs="Calibri"/>
      <w:sz w:val="22"/>
      <w:szCs w:val="22"/>
      <w:lang w:val="pt-BR" w:eastAsia="pt-BR" w:bidi="ar-SA"/>
    </w:rPr>
  </w:style>
  <w:style w:type="paragraph" w:customStyle="1" w:styleId="62">
    <w:name w:val="Nível 2 Opcional"/>
    <w:basedOn w:val="1"/>
    <w:link w:val="64"/>
    <w:qFormat/>
    <w:uiPriority w:val="0"/>
    <w:pPr>
      <w:spacing w:before="120" w:after="120" w:line="276" w:lineRule="auto"/>
      <w:ind w:left="432" w:hanging="432"/>
      <w:jc w:val="both"/>
    </w:pPr>
    <w:rPr>
      <w:rFonts w:ascii="Arial" w:hAnsi="Arial" w:eastAsia="Times New Roman" w:cs="Arial"/>
      <w:i/>
      <w:color w:val="FF0000"/>
      <w:sz w:val="20"/>
      <w:szCs w:val="20"/>
    </w:rPr>
  </w:style>
  <w:style w:type="paragraph" w:customStyle="1" w:styleId="63">
    <w:name w:val="Nível 3 Opcional"/>
    <w:basedOn w:val="1"/>
    <w:qFormat/>
    <w:uiPriority w:val="0"/>
    <w:pPr>
      <w:spacing w:before="120" w:after="120" w:line="276" w:lineRule="auto"/>
      <w:ind w:left="1072" w:hanging="504"/>
      <w:jc w:val="both"/>
    </w:pPr>
    <w:rPr>
      <w:rFonts w:ascii="Arial" w:hAnsi="Arial" w:eastAsia="Times New Roman" w:cs="Arial"/>
      <w:i/>
      <w:iCs/>
      <w:color w:val="FF0000"/>
      <w:sz w:val="20"/>
      <w:szCs w:val="20"/>
    </w:rPr>
  </w:style>
  <w:style w:type="character" w:customStyle="1" w:styleId="64">
    <w:name w:val="Nível 2 Opcional Char"/>
    <w:basedOn w:val="8"/>
    <w:link w:val="62"/>
    <w:locked/>
    <w:uiPriority w:val="0"/>
    <w:rPr>
      <w:rFonts w:ascii="Arial" w:hAnsi="Arial" w:eastAsia="Times New Roman" w:cs="Arial"/>
      <w:i/>
      <w:color w:val="FF0000"/>
      <w:sz w:val="20"/>
      <w:szCs w:val="20"/>
      <w:lang w:eastAsia="pt-BR"/>
    </w:rPr>
  </w:style>
  <w:style w:type="character" w:customStyle="1" w:styleId="65">
    <w:name w:val="Unresolved Mention"/>
    <w:basedOn w:val="8"/>
    <w:semiHidden/>
    <w:unhideWhenUsed/>
    <w:uiPriority w:val="99"/>
    <w:rPr>
      <w:color w:val="605E5C"/>
      <w:shd w:val="clear" w:color="auto" w:fill="E1DFDD"/>
    </w:rPr>
  </w:style>
  <w:style w:type="table" w:customStyle="1" w:styleId="66">
    <w:name w:val="_Style 65"/>
    <w:basedOn w:val="23"/>
    <w:uiPriority w:val="0"/>
    <w:tblPr>
      <w:tblCellMar>
        <w:top w:w="0" w:type="dxa"/>
        <w:left w:w="115" w:type="dxa"/>
        <w:bottom w:w="0" w:type="dxa"/>
        <w:right w:w="115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numbering" Target="numbering.xml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2hhyfhE/zcnOZQOR00uWvyRMjbw==">CgMxLjAyCGguZ2pkZ3hzMgloLjMwajB6bGwyCmlkLjFmb2I5dGUyCmlkLjJldDkycDAyCmlkLjN6bnlzaDc4AHIhMU9sNUkyLTdlWF9EZnRTS3BIQUp2czFpdHRXVmtjNGI2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1610</Words>
  <Characters>8698</Characters>
  <Lines>72</Lines>
  <Paragraphs>20</Paragraphs>
  <TotalTime>23</TotalTime>
  <ScaleCrop>false</ScaleCrop>
  <LinksUpToDate>false</LinksUpToDate>
  <CharactersWithSpaces>10288</CharactersWithSpaces>
  <Application>WPS Office_12.2.0.17119_F1E327BC-269C-435d-A152-05C5408002CA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2024-07-11T19:54:00Z</dcterms:created>
  <dc:creator>Marcela Ali Tarif</dc:creator>
  <cp:lastModifiedBy>PRÓ-REITORIA DE ADMINISTRAÇÃO UFPI</cp:lastModifiedBy>
  <dcterms:modified xsi:type="dcterms:W3CDTF">2024-07-19T13:01:12Z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0x01010012A2765E7DFD38469B2E626874CD0041</vt:lpwstr>
  </property>
  <property fmtid="{D5CDD505-2E9C-101B-9397-08002B2CF9AE}" pid="3" name="KSOProductBuildVer">
    <vt:lpwstr>1046-12.2.0.17119</vt:lpwstr>
  </property>
  <property fmtid="{D5CDD505-2E9C-101B-9397-08002B2CF9AE}" pid="4" name="ICV">
    <vt:lpwstr>7CC3DC0E5D0E4FF7BB03713CE4E52EDB_13</vt:lpwstr>
  </property>
</Properties>
</file>