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>ANEXO I – IDENTIFICAÇÃO, DADOS BANCÁRIOS E ETAPA DOCUMENTAL</w:t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EDITAL BOLSA DE PRODUTIVIDADE EM PESQUISA E EM DESENVOLVIMENTO TECNOLÓGICO PQDT 2023-2024</w:t>
      </w:r>
    </w:p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Identificação:</w:t>
      </w:r>
    </w:p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5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7249"/>
      </w:tblGrid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Proponente: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Dados bancários:</w:t>
      </w:r>
    </w:p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6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7249"/>
      </w:tblGrid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Banco: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Agência: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Conta corrente: 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1140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>Etapa Documental:</w:t>
      </w:r>
    </w:p>
    <w:p>
      <w:pPr>
        <w:pStyle w:val="Ttulo1"/>
        <w:spacing w:lineRule="auto" w:line="240" w:before="93" w:after="0"/>
        <w:ind w:left="1140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7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7249"/>
      </w:tblGrid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Grande Área: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Ciências da Vida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Ciências Exatas, da Terra e Engenharias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Ciências Humanas, Sociais Aplicadas, Letras e Artes</w:t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Pertence a Grupo de Pesquisa: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SIM   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NÃO </w:t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Pós-Graduação, conforme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Anexo VI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envolve pesquisa com seres humanos?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SIM   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NÃO</w:t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envolve pesquisa com animais?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SIM   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NÃO</w:t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Opção da Chamada: 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Chamada CNPq Nº 09/2022 para concessão de Bolsa na modalidade Produtividade em Pesquisa (PQ)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Chamada CNPq Nº 08/2022 para concessão de Bolsa de Produtividade em Desenvolvimento Tecnológico e Extensão Inovadora (DT)</w:t>
            </w:r>
          </w:p>
        </w:tc>
      </w:tr>
      <w:tr>
        <w:trPr/>
        <w:tc>
          <w:tcPr>
            <w:tcW w:w="295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Utilizar nota obtida no Edital de Iniciação (PIBIC ou PIBITI)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7249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) SIM   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NÃO</w:t>
            </w:r>
          </w:p>
        </w:tc>
      </w:tr>
    </w:tbl>
    <w:p>
      <w:pPr>
        <w:pStyle w:val="Ttulo1"/>
        <w:spacing w:lineRule="auto" w:line="240" w:before="93" w:after="0"/>
        <w:ind w:left="1140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812" w:right="7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Ttulo1"/>
        <w:spacing w:lineRule="auto" w:line="240" w:before="93" w:after="0"/>
        <w:ind w:left="812" w:right="765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00" w:right="701" w:gutter="0" w:header="284" w:top="1276" w:footer="535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5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7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LibreOffice/7.5.3.2$Windows_X86_64 LibreOffice_project/9f56dff12ba03b9acd7730a5a481eea045e468f3</Application>
  <AppVersion>15.0000</AppVersion>
  <Pages>1</Pages>
  <Words>259</Words>
  <Characters>1485</Characters>
  <CharactersWithSpaces>1741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2023-06-05T07:39:19Z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