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EDITAL Nº 02/2021 – PROPOPI/UFDPar – PIBITI-ITV 2021-2022</w:t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 xml:space="preserve">ANEXO </w:t>
      </w:r>
      <w:r>
        <w:rPr>
          <w:rFonts w:eastAsia="Verdana" w:cs="Arial" w:ascii="Arial" w:hAnsi="Arial"/>
          <w:b/>
          <w:color w:val="auto"/>
          <w:w w:val="99"/>
          <w:sz w:val="20"/>
          <w:szCs w:val="20"/>
        </w:rPr>
        <w:t>I - Critérios de Avaliação da Produção Científica e Tecnológica do Orientador (a)</w:t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b/>
          <w:b/>
          <w:color w:val="auto"/>
          <w:w w:val="99"/>
          <w:sz w:val="20"/>
          <w:szCs w:val="20"/>
        </w:rPr>
      </w:pPr>
      <w:r>
        <w:rPr>
          <w:rFonts w:eastAsia="Verdana" w:cs="Arial" w:ascii="Arial" w:hAnsi="Arial"/>
          <w:b/>
          <w:color w:val="auto"/>
          <w:w w:val="99"/>
          <w:sz w:val="20"/>
          <w:szCs w:val="20"/>
        </w:rPr>
      </w:r>
    </w:p>
    <w:p>
      <w:pPr>
        <w:pStyle w:val="Normal"/>
        <w:bidi w:val="0"/>
        <w:spacing w:before="57" w:after="57"/>
        <w:ind w:left="1134" w:right="1417" w:hanging="0"/>
        <w:jc w:val="center"/>
        <w:rPr/>
      </w:pPr>
      <w:r>
        <w:rPr>
          <w:rFonts w:eastAsia="Verdana" w:cs="Arial" w:ascii="Arial" w:hAnsi="Arial"/>
          <w:color w:val="auto"/>
          <w:sz w:val="20"/>
          <w:szCs w:val="20"/>
        </w:rPr>
        <w:t xml:space="preserve">Edital PIBITI/ITV/UFDPar </w:t>
      </w:r>
      <w:r>
        <w:rPr>
          <w:rFonts w:eastAsia="Verdana" w:cs="Arial" w:ascii="Arial" w:hAnsi="Arial"/>
          <w:color w:val="auto"/>
          <w:w w:val="99"/>
          <w:sz w:val="20"/>
          <w:szCs w:val="20"/>
        </w:rPr>
        <w:t>(2021-2022)</w:t>
      </w:r>
    </w:p>
    <w:p>
      <w:pPr>
        <w:pStyle w:val="Normal"/>
        <w:bidi w:val="0"/>
        <w:spacing w:before="57" w:after="57"/>
        <w:ind w:left="113" w:right="0" w:hanging="0"/>
        <w:jc w:val="center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Programa Institucional de Bolsas de Iniciação em Desenvolvimento Tecnológico e Inovação - PIBITI</w:t>
      </w:r>
    </w:p>
    <w:p>
      <w:pPr>
        <w:pStyle w:val="Normal"/>
        <w:bidi w:val="0"/>
        <w:spacing w:before="57" w:after="57"/>
        <w:ind w:left="113" w:right="0" w:hanging="0"/>
        <w:jc w:val="center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Programa de Iniciação Tecnológica Voluntária – ITV</w:t>
      </w:r>
    </w:p>
    <w:p>
      <w:pPr>
        <w:pStyle w:val="Normal"/>
        <w:bidi w:val="0"/>
        <w:spacing w:before="57" w:after="57"/>
        <w:ind w:left="113" w:right="0" w:hanging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tbl>
      <w:tblPr>
        <w:tblW w:w="9866" w:type="dxa"/>
        <w:jc w:val="left"/>
        <w:tblInd w:w="42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997"/>
        <w:gridCol w:w="1869"/>
      </w:tblGrid>
      <w:tr>
        <w:trPr>
          <w:trHeight w:val="600" w:hRule="exact"/>
        </w:trPr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 xml:space="preserve">PONTUAÇÃO ACUMULATIVA: Produção Científica e </w:t>
            </w: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 xml:space="preserve">Tecnológica </w:t>
            </w: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 xml:space="preserve">(janeiro de 2018 a maio de </w:t>
            </w: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>2021)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PONTUAÇÃO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1. Pedido de Registro de software junto ao INPI, via NINTEC ou com co-titularidade com outra ICT.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10,0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2. Registro de software concedido pelo INPI, via NINTEC ou com co-titularidade com outra ICT.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30,0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3. Desenvolvimento de patentes com concessão definitiva (Carta Patente) INPI, via NINTEC ou com co-titularidade com outra ICT.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50,0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4. Pedido de depósito de patentes junto ao INPI ou PCT, via NINTEC ou com co-titularidade com outra ICT.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20,0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5. Artigos* publicados em periódicos indexados - QUALIS A1 e A2 da CAPES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6,0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6. Artigos publicados em periódicos indexados - QUALIS B2 e B3 CAPES ou trabalho completo publicado em Conferência B1 e B2, com a devida comprovação.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4,0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7. Artigos publicados em periódicos B4 e B5, ou trabalho completo publicado em conferência B3, B4 e B5, com a devida comprovação.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8. Artigos* publicados em periódicos da área tecnológica e não classificados pelo sistema QUALIS, com ISSN e com Fator de Impacto.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0,5 ponto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9. Resumos  e  resumos  expandidos  publicados  em  anais  de  congressos internacionais e nacionais (serão computados eventos locais e regionais, exceto eventos de iniciação científica e tecnológica).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0,3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de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3,0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10. Trabalhos completos publicados em anais de congressos Internacionais e nacionais (serão computados eventos locais e regionais, exceto eventos de iniciação científica e tecnológica). Para as áreas cujos eventos tiverem indexação QUALIS, computar somente eventos do QUALIS da CAPES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0,5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5,0 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11. Livros publicados com ISBN, na área de atuação do pesquisador, com no mínimo 60 páginas, e conselho editorial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6,0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12. Capítulos de livros publicados com ISBN, na área de atuação do pesquisador, com conselho editorial.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1,5 ponto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13. Organização ou Editoração de livros e/ou periódicos científicos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0,5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1,0 ponto)</w:t>
            </w:r>
          </w:p>
        </w:tc>
      </w:tr>
      <w:tr>
        <w:trPr>
          <w:trHeight w:val="391" w:hRule="exact"/>
        </w:trPr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14. Dissertações de Mestrado orientadas e aprovadas, como orientador principal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1,5 ponto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15. Dissertações de Mestrado orientadas e aprovadas, como coorientador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0,7 ponto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16. Teses de Doutorado orientadas e aprovadas, como orientador principal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3,0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17. Teses de Doutorado orientadas e aprovadas, como coorientador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1,5 ponto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18. Orientação de Iniciação Científica concluída/ano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1,0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5,0 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19. Orientação de Iniciação Tecnológica concluída/ano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2,0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pontos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10,0 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20. Orientação de TCC (trabalho de conclusão de curso de graduação) concluída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0,5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2,5 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21. Supervisões de DCR, PNPD, Pró-Doc, entre outros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2,0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pontos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4,0 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22. Participações em banca de defesa de tese de doutorado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1,0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10,0 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23. Participações em banca de qualificação de tese de doutorado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0,5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5,0 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24. Participações em banca de defesa de dissertação de mestrado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0,5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5,0 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25. Participações em banca de qualificação de dissertação de mestrado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0,25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 xml:space="preserve">ponto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 xml:space="preserve">(**máximo </w:t>
            </w:r>
            <w:r>
              <w:rPr>
                <w:rFonts w:eastAsia="Verdana" w:cs="Arial" w:ascii="Arial" w:hAnsi="Arial"/>
                <w:color w:val="auto"/>
                <w:w w:val="99"/>
                <w:sz w:val="20"/>
                <w:szCs w:val="20"/>
              </w:rPr>
              <w:t>2,5 pontos)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26. Curso/oficina (mínimo 20 horas) de formação de recursos humanos em pesquisa, desenvolvimento tecnológico e inovação, limite três cursos.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1,0 ponto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27. Coordenação de Projeto aprovado e cadastrado na PROPOPI, PROPESQI, ou PREXC, com financiamento por agência de Fomento (Pontuação por ano de execução).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4,0 pontos/ano de execução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26. Bolsista de Desenvolvimento Tecnológico e Extensão Inovadora (DT) do CNPq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10,0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27. Bolsista de Produtividade em Pesquisa (PQ) do CNPq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7,5 pontos</w:t>
            </w:r>
          </w:p>
        </w:tc>
      </w:tr>
      <w:tr>
        <w:trPr/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28. Bolsista de Produtividade em Pesquisa (PQ) da UFDPar/UFPI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center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5,0 pontos</w:t>
            </w:r>
          </w:p>
        </w:tc>
      </w:tr>
    </w:tbl>
    <w:p>
      <w:pPr>
        <w:pStyle w:val="Normal"/>
        <w:bidi w:val="0"/>
        <w:jc w:val="both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Notas:</w:t>
      </w:r>
    </w:p>
    <w:p>
      <w:pPr>
        <w:pStyle w:val="Normal"/>
        <w:bidi w:val="0"/>
        <w:jc w:val="both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numPr>
          <w:ilvl w:val="2"/>
          <w:numId w:val="1"/>
        </w:numPr>
        <w:tabs>
          <w:tab w:val="clear" w:pos="709"/>
          <w:tab w:val="left" w:pos="852" w:leader="none"/>
        </w:tabs>
        <w:suppressAutoHyphens w:val="true"/>
        <w:bidi w:val="0"/>
        <w:ind w:left="426" w:right="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* Não serão contabilizados artigos aceitos para publicação.</w:t>
      </w:r>
    </w:p>
    <w:p>
      <w:pPr>
        <w:pStyle w:val="Normal"/>
        <w:tabs>
          <w:tab w:val="clear" w:pos="709"/>
          <w:tab w:val="left" w:pos="852" w:leader="none"/>
        </w:tabs>
        <w:suppressAutoHyphens w:val="true"/>
        <w:bidi w:val="0"/>
        <w:ind w:left="426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2"/>
          <w:numId w:val="1"/>
        </w:numPr>
        <w:tabs>
          <w:tab w:val="clear" w:pos="709"/>
          <w:tab w:val="left" w:pos="852" w:leader="none"/>
        </w:tabs>
        <w:suppressAutoHyphens w:val="true"/>
        <w:bidi w:val="0"/>
        <w:ind w:left="426" w:right="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** A pontuação máxima se refere ao interstício de janeiro de 2018 a maio de 2021.</w:t>
      </w:r>
    </w:p>
    <w:p>
      <w:pPr>
        <w:pStyle w:val="ListParagraph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numPr>
          <w:ilvl w:val="2"/>
          <w:numId w:val="1"/>
        </w:numPr>
        <w:tabs>
          <w:tab w:val="clear" w:pos="709"/>
          <w:tab w:val="left" w:pos="852" w:leader="none"/>
        </w:tabs>
        <w:suppressAutoHyphens w:val="true"/>
        <w:bidi w:val="0"/>
        <w:ind w:left="426" w:right="0" w:hanging="426"/>
        <w:jc w:val="both"/>
        <w:rPr/>
      </w:pPr>
      <w:r>
        <w:rPr>
          <w:rFonts w:cs="Arial" w:ascii="Arial" w:hAnsi="Arial"/>
          <w:color w:val="auto"/>
          <w:sz w:val="20"/>
          <w:szCs w:val="20"/>
        </w:rPr>
        <w:t>A classificação de periódicos no WEBQUALIS será relativa ao quadriênio de 2013 a 2016, na subárea de Avaliação da CAPES (http://www.capes.gov.br/avaliacao/sobre-as-areas-de-avaliacao) indicada pelo orientador no link de cadastro da área de conhecimento no sistema SIGAA</w:t>
      </w:r>
      <w:r>
        <w:rPr>
          <w:rFonts w:cs="Arial" w:ascii="Arial" w:hAnsi="Arial"/>
          <w:color w:val="auto"/>
        </w:rPr>
        <w:t>.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644" w:hanging="360"/>
      </w:pPr>
      <w:rPr>
        <w:b/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2</Pages>
  <Words>655</Words>
  <Characters>3729</Characters>
  <CharactersWithSpaces>4321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2021-04-19T11:30:12Z</dcterms:created>
  <dc:creator/>
  <dc:description/>
  <dc:language>pt-BR</dc:language>
  <cp:lastModifiedBy/>
  <dcterms:modified xsi:type="dcterms:W3CDTF">2021-04-19T11:31:09Z</dcterms:modified>
  <cp:revision>1</cp:revision>
  <dc:subject/>
  <dc:title/>
</cp:coreProperties>
</file>