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5C6F261" w14:textId="77777777" w:rsidR="002F57FC" w:rsidRPr="00966FC4" w:rsidRDefault="002F57FC" w:rsidP="002F57FC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ANEXO 4</w:t>
      </w:r>
    </w:p>
    <w:p w14:paraId="1C4D5F96" w14:textId="77777777" w:rsidR="002F57FC" w:rsidRPr="00966FC4" w:rsidRDefault="002F57FC" w:rsidP="002F57FC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EDITAL Nº 02/2022 – PIBIEX/ PREX/ UFDPar</w:t>
      </w:r>
    </w:p>
    <w:p w14:paraId="5F58C9FE" w14:textId="77777777" w:rsidR="002F57FC" w:rsidRPr="00966FC4" w:rsidRDefault="002F57FC" w:rsidP="002F57FC">
      <w:pPr>
        <w:jc w:val="center"/>
        <w:rPr>
          <w:rFonts w:eastAsia="Arial"/>
          <w:b/>
        </w:rPr>
      </w:pPr>
      <w:r w:rsidRPr="00966FC4">
        <w:rPr>
          <w:rFonts w:eastAsia="Arial"/>
          <w:b/>
        </w:rPr>
        <w:t>FICHA DE AVALIAÇÃO DAS PROPOSTAS DO EDITAL PIBIEX</w:t>
      </w:r>
    </w:p>
    <w:p w14:paraId="6C4A0092" w14:textId="77777777" w:rsidR="002F57FC" w:rsidRPr="00966FC4" w:rsidRDefault="002F57FC" w:rsidP="002F57FC">
      <w:pPr>
        <w:widowControl/>
        <w:suppressAutoHyphens w:val="0"/>
        <w:spacing w:after="240"/>
        <w:jc w:val="center"/>
        <w:rPr>
          <w:rFonts w:eastAsia="Times New Roman"/>
          <w:lang w:eastAsia="pt-BR"/>
        </w:rPr>
      </w:pPr>
    </w:p>
    <w:p w14:paraId="6E04BF12" w14:textId="77777777" w:rsidR="002F57FC" w:rsidRPr="00966FC4" w:rsidRDefault="002F57FC" w:rsidP="002F57FC">
      <w:pPr>
        <w:rPr>
          <w:rFonts w:eastAsia="Arial"/>
          <w:b/>
        </w:rPr>
      </w:pPr>
      <w:r w:rsidRPr="00966FC4">
        <w:rPr>
          <w:rFonts w:eastAsia="Arial"/>
          <w:b/>
        </w:rPr>
        <w:t>N° PROCESSO:</w:t>
      </w:r>
    </w:p>
    <w:p w14:paraId="4723143E" w14:textId="77777777" w:rsidR="002F57FC" w:rsidRPr="00966FC4" w:rsidRDefault="002F57FC" w:rsidP="002F57F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</w:p>
    <w:tbl>
      <w:tblPr>
        <w:tblpPr w:leftFromText="141" w:rightFromText="141" w:vertAnchor="text" w:horzAnchor="margin" w:tblpY="2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6"/>
        <w:gridCol w:w="1442"/>
      </w:tblGrid>
      <w:tr w:rsidR="002F57FC" w:rsidRPr="00966FC4" w14:paraId="22C33E26" w14:textId="77777777" w:rsidTr="00E85C21">
        <w:trPr>
          <w:trHeight w:val="506"/>
        </w:trPr>
        <w:tc>
          <w:tcPr>
            <w:tcW w:w="4251" w:type="pct"/>
            <w:vAlign w:val="center"/>
          </w:tcPr>
          <w:p w14:paraId="27CC6E5C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ITENS PARA AVALIAÇÃO</w:t>
            </w:r>
          </w:p>
        </w:tc>
        <w:tc>
          <w:tcPr>
            <w:tcW w:w="749" w:type="pct"/>
            <w:vAlign w:val="center"/>
          </w:tcPr>
          <w:p w14:paraId="68B27F1C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PONTUAÇÃO </w:t>
            </w:r>
          </w:p>
        </w:tc>
      </w:tr>
      <w:tr w:rsidR="002F57FC" w:rsidRPr="00966FC4" w14:paraId="5A60EA91" w14:textId="77777777" w:rsidTr="00E85C21">
        <w:trPr>
          <w:trHeight w:val="1458"/>
        </w:trPr>
        <w:tc>
          <w:tcPr>
            <w:tcW w:w="4251" w:type="pct"/>
            <w:vAlign w:val="center"/>
          </w:tcPr>
          <w:p w14:paraId="3733FDA4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1 - Coerência da introdução e justificativa da proposta com a ação extensionista.</w:t>
            </w:r>
          </w:p>
          <w:p w14:paraId="60963B24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MT"/>
                <w:color w:val="000000"/>
                <w:sz w:val="16"/>
              </w:rPr>
            </w:pPr>
            <w:r w:rsidRPr="00966FC4">
              <w:rPr>
                <w:rFonts w:eastAsia="Arial MT"/>
                <w:color w:val="000000"/>
                <w:sz w:val="16"/>
              </w:rPr>
              <w:t>Apresenta interação dialógica da comunidade acadêmica com a sociedade por meio da troca de conhecimentos, e o quanto impacta, beneficia e transforma a sociedade.</w:t>
            </w:r>
          </w:p>
          <w:p w14:paraId="7E67C79D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Não há coerência – 3 </w:t>
            </w:r>
          </w:p>
          <w:p w14:paraId="6E61D5AF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Há parcialmente – 7</w:t>
            </w:r>
          </w:p>
          <w:p w14:paraId="3A4F79F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Totalmente coerente – 10</w:t>
            </w:r>
          </w:p>
        </w:tc>
        <w:tc>
          <w:tcPr>
            <w:tcW w:w="749" w:type="pct"/>
            <w:vAlign w:val="center"/>
          </w:tcPr>
          <w:p w14:paraId="16068EB0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3-7-10</w:t>
            </w:r>
          </w:p>
          <w:p w14:paraId="149CB1E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08473F29" w14:textId="77777777" w:rsidTr="00E85C21">
        <w:trPr>
          <w:trHeight w:val="1975"/>
        </w:trPr>
        <w:tc>
          <w:tcPr>
            <w:tcW w:w="4251" w:type="pct"/>
            <w:vAlign w:val="center"/>
          </w:tcPr>
          <w:p w14:paraId="531390BF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2 - C</w:t>
            </w:r>
            <w:r w:rsidRPr="00966FC4">
              <w:rPr>
                <w:rFonts w:eastAsia="Arial"/>
                <w:b/>
                <w:color w:val="000009"/>
                <w:sz w:val="16"/>
              </w:rPr>
              <w:t xml:space="preserve">oerência entre os objetivos e metas que auxiliariam na </w:t>
            </w:r>
            <w:r w:rsidRPr="00966FC4">
              <w:rPr>
                <w:rFonts w:eastAsia="Arial"/>
                <w:b/>
                <w:color w:val="000000"/>
                <w:sz w:val="16"/>
              </w:rPr>
              <w:t>transformação social com caráter extensionista.</w:t>
            </w:r>
          </w:p>
          <w:p w14:paraId="30A4C196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MT"/>
                <w:color w:val="000000"/>
                <w:sz w:val="16"/>
              </w:rPr>
            </w:pPr>
            <w:r w:rsidRPr="00966FC4">
              <w:rPr>
                <w:rFonts w:eastAsia="Arial MT"/>
                <w:color w:val="000000"/>
                <w:sz w:val="16"/>
              </w:rPr>
              <w:t xml:space="preserve">O projeto deve descrever como se espera modificar as condições inicialmente diagnosticadas no grupo/comunidade envolvido, indicando o impacto social esperado com integração às metas propostas e resultados esperados. Se os objetivos e metas estão claros e coerentes, e serão realizadas, destacando a sua execução de forma articulada </w:t>
            </w:r>
            <w:r w:rsidRPr="00966FC4">
              <w:rPr>
                <w:rFonts w:eastAsia="Arial MT"/>
                <w:sz w:val="16"/>
              </w:rPr>
              <w:t>a transformação</w:t>
            </w:r>
            <w:r w:rsidRPr="00966FC4">
              <w:rPr>
                <w:rFonts w:eastAsia="Arial MT"/>
                <w:color w:val="000000"/>
                <w:sz w:val="16"/>
              </w:rPr>
              <w:t xml:space="preserve"> social.</w:t>
            </w:r>
          </w:p>
          <w:p w14:paraId="3BA354EF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Não apresenta coerência entre objetivo e metas – 3 </w:t>
            </w:r>
          </w:p>
          <w:p w14:paraId="03FE2C9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Há coerência parcialmente – 7</w:t>
            </w:r>
          </w:p>
          <w:p w14:paraId="4900850D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Totalmente coerente – 10</w:t>
            </w:r>
          </w:p>
        </w:tc>
        <w:tc>
          <w:tcPr>
            <w:tcW w:w="749" w:type="pct"/>
            <w:vAlign w:val="center"/>
          </w:tcPr>
          <w:p w14:paraId="33FD1D6A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3-7-10</w:t>
            </w:r>
          </w:p>
          <w:p w14:paraId="105E2F3F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11FB51AF" w14:textId="77777777" w:rsidTr="00E85C21">
        <w:trPr>
          <w:trHeight w:val="2812"/>
        </w:trPr>
        <w:tc>
          <w:tcPr>
            <w:tcW w:w="4251" w:type="pct"/>
            <w:vAlign w:val="center"/>
          </w:tcPr>
          <w:p w14:paraId="304EAF0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3 - A metodologia do projeto proposta se adequa a ação extensionista na comunidade proposta.</w:t>
            </w:r>
          </w:p>
          <w:p w14:paraId="559CB28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MT"/>
                <w:color w:val="000000"/>
                <w:sz w:val="16"/>
              </w:rPr>
            </w:pPr>
            <w:r w:rsidRPr="00966FC4">
              <w:rPr>
                <w:rFonts w:eastAsia="Arial MT"/>
                <w:color w:val="000000"/>
                <w:sz w:val="16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14:paraId="77798D80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Metodologia não </w:t>
            </w:r>
            <w:proofErr w:type="spellStart"/>
            <w:proofErr w:type="gramStart"/>
            <w:r w:rsidRPr="00966FC4">
              <w:rPr>
                <w:rFonts w:eastAsia="Arial"/>
                <w:b/>
                <w:color w:val="000000"/>
                <w:sz w:val="16"/>
              </w:rPr>
              <w:t>e</w:t>
            </w:r>
            <w:proofErr w:type="spellEnd"/>
            <w:proofErr w:type="gramEnd"/>
            <w:r w:rsidRPr="00966FC4">
              <w:rPr>
                <w:rFonts w:eastAsia="Arial"/>
                <w:b/>
                <w:color w:val="000000"/>
                <w:sz w:val="16"/>
              </w:rPr>
              <w:t xml:space="preserve"> clara e não se adequa </w:t>
            </w:r>
            <w:r w:rsidRPr="00966FC4">
              <w:rPr>
                <w:rFonts w:eastAsia="Arial"/>
                <w:b/>
                <w:sz w:val="16"/>
              </w:rPr>
              <w:t>às ações</w:t>
            </w:r>
            <w:r w:rsidRPr="00966FC4">
              <w:rPr>
                <w:rFonts w:eastAsia="Arial"/>
                <w:b/>
                <w:color w:val="000000"/>
                <w:sz w:val="16"/>
              </w:rPr>
              <w:t xml:space="preserve"> extensionistas = 3</w:t>
            </w:r>
          </w:p>
          <w:p w14:paraId="0D366B0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Metodologia é bem elaborada, porém não adequa ou não são </w:t>
            </w:r>
            <w:r w:rsidRPr="00966FC4">
              <w:rPr>
                <w:rFonts w:eastAsia="Arial"/>
                <w:b/>
                <w:sz w:val="16"/>
              </w:rPr>
              <w:t>explícitas</w:t>
            </w:r>
            <w:r w:rsidRPr="00966FC4">
              <w:rPr>
                <w:rFonts w:eastAsia="Arial"/>
                <w:b/>
                <w:color w:val="000000"/>
                <w:sz w:val="16"/>
              </w:rPr>
              <w:t xml:space="preserve"> as ações </w:t>
            </w:r>
            <w:r w:rsidRPr="00966FC4">
              <w:rPr>
                <w:rFonts w:eastAsia="Arial"/>
                <w:b/>
                <w:sz w:val="16"/>
              </w:rPr>
              <w:t>extensionistas</w:t>
            </w:r>
            <w:r w:rsidRPr="00966FC4">
              <w:rPr>
                <w:rFonts w:eastAsia="Arial"/>
                <w:b/>
                <w:color w:val="000000"/>
                <w:sz w:val="16"/>
              </w:rPr>
              <w:t xml:space="preserve"> = 5</w:t>
            </w:r>
          </w:p>
          <w:p w14:paraId="7BB3B07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Metodologia é bem elaborada, porém, adequa parcialmente </w:t>
            </w:r>
            <w:r w:rsidRPr="00966FC4">
              <w:rPr>
                <w:rFonts w:eastAsia="Arial"/>
                <w:b/>
                <w:sz w:val="16"/>
              </w:rPr>
              <w:t>às ações</w:t>
            </w:r>
            <w:r w:rsidRPr="00966FC4">
              <w:rPr>
                <w:rFonts w:eastAsia="Arial"/>
                <w:b/>
                <w:color w:val="000000"/>
                <w:sz w:val="16"/>
              </w:rPr>
              <w:t xml:space="preserve"> </w:t>
            </w:r>
            <w:r w:rsidRPr="00966FC4">
              <w:rPr>
                <w:rFonts w:eastAsia="Arial"/>
                <w:b/>
                <w:sz w:val="16"/>
              </w:rPr>
              <w:t>extensionista</w:t>
            </w:r>
            <w:r w:rsidRPr="00966FC4">
              <w:rPr>
                <w:rFonts w:eastAsia="Arial"/>
                <w:b/>
                <w:color w:val="000000"/>
                <w:sz w:val="16"/>
              </w:rPr>
              <w:t xml:space="preserve"> = 7</w:t>
            </w:r>
          </w:p>
          <w:p w14:paraId="3784F043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proofErr w:type="gramStart"/>
            <w:r w:rsidRPr="00966FC4">
              <w:rPr>
                <w:rFonts w:eastAsia="Arial"/>
                <w:b/>
                <w:color w:val="000000"/>
                <w:sz w:val="16"/>
              </w:rPr>
              <w:t>O projeto propõem</w:t>
            </w:r>
            <w:proofErr w:type="gramEnd"/>
            <w:r w:rsidRPr="00966FC4">
              <w:rPr>
                <w:rFonts w:eastAsia="Arial"/>
                <w:b/>
                <w:color w:val="000000"/>
                <w:sz w:val="16"/>
              </w:rPr>
              <w:t xml:space="preserve"> métodos de análises inovadores, com a participação dos atores sociais e o diálogo = 10</w:t>
            </w:r>
          </w:p>
        </w:tc>
        <w:tc>
          <w:tcPr>
            <w:tcW w:w="749" w:type="pct"/>
            <w:vAlign w:val="center"/>
          </w:tcPr>
          <w:p w14:paraId="0202151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3-5-7-10</w:t>
            </w:r>
          </w:p>
          <w:p w14:paraId="24EF78D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5F3F96BE" w14:textId="77777777" w:rsidTr="00E85C21">
        <w:trPr>
          <w:trHeight w:val="1146"/>
        </w:trPr>
        <w:tc>
          <w:tcPr>
            <w:tcW w:w="4251" w:type="pct"/>
            <w:vAlign w:val="center"/>
          </w:tcPr>
          <w:p w14:paraId="717969EF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4 - Protagonistas das ações (Participantes)</w:t>
            </w:r>
          </w:p>
          <w:p w14:paraId="59E1DAFA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Somente alunos de uma área, com docente(s) da área = 3</w:t>
            </w:r>
          </w:p>
          <w:p w14:paraId="489A8B0D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Alunos de dois ou mais cursos, com docente(s) de duas ou mais áreas = 5</w:t>
            </w:r>
          </w:p>
          <w:p w14:paraId="6BD55094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Parceria com empresa, instituição, ou outro da comunidade externa = 7 </w:t>
            </w:r>
          </w:p>
          <w:p w14:paraId="71813C5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Arial"/>
                <w:b/>
                <w:color w:val="000000"/>
                <w:sz w:val="16"/>
                <w:szCs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  <w:szCs w:val="16"/>
              </w:rPr>
              <w:t xml:space="preserve">Participantes externos com mais de uma empresa, instituições, ou outros da comunidade externa e alunos de dois ou mais cursos, com docente(s) de duas ou mais </w:t>
            </w:r>
            <w:proofErr w:type="gramStart"/>
            <w:r w:rsidRPr="00966FC4">
              <w:rPr>
                <w:rFonts w:eastAsia="Arial"/>
                <w:b/>
                <w:color w:val="000000"/>
                <w:sz w:val="16"/>
                <w:szCs w:val="16"/>
              </w:rPr>
              <w:t>áreas acadêmica</w:t>
            </w:r>
            <w:proofErr w:type="gramEnd"/>
            <w:r w:rsidRPr="00966FC4">
              <w:rPr>
                <w:rFonts w:eastAsia="Arial"/>
                <w:b/>
                <w:color w:val="000000"/>
                <w:sz w:val="16"/>
                <w:szCs w:val="16"/>
              </w:rPr>
              <w:t>=10</w:t>
            </w:r>
          </w:p>
        </w:tc>
        <w:tc>
          <w:tcPr>
            <w:tcW w:w="749" w:type="pct"/>
            <w:vAlign w:val="center"/>
          </w:tcPr>
          <w:p w14:paraId="05F3E7B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3-5-7-10</w:t>
            </w:r>
          </w:p>
          <w:p w14:paraId="790C12F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</w:tbl>
    <w:p w14:paraId="2586E625" w14:textId="77777777" w:rsidR="002F57FC" w:rsidRPr="00966FC4" w:rsidRDefault="002F57FC" w:rsidP="002F57FC">
      <w:pPr>
        <w:widowControl/>
        <w:suppressAutoHyphens w:val="0"/>
        <w:rPr>
          <w:rFonts w:eastAsia="Times New Roman"/>
          <w:lang w:eastAsia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38"/>
        <w:gridCol w:w="1390"/>
      </w:tblGrid>
      <w:tr w:rsidR="002F57FC" w:rsidRPr="00966FC4" w14:paraId="215758B3" w14:textId="77777777" w:rsidTr="00E85C21">
        <w:trPr>
          <w:trHeight w:val="1258"/>
        </w:trPr>
        <w:tc>
          <w:tcPr>
            <w:tcW w:w="4278" w:type="pct"/>
          </w:tcPr>
          <w:p w14:paraId="4337DB3B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5 - Abrangência social – (Ações)</w:t>
            </w:r>
          </w:p>
          <w:p w14:paraId="50E22C57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Ações voltadas para a comunidade acadêmica da UFDPar incluindo a comunidade = 3 </w:t>
            </w:r>
          </w:p>
          <w:p w14:paraId="0FCBF18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95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Ações voltadas para a comunidade acadêmica da UFDPar e com parceiros externos fora dos muros da UFDPAR das atividades = 7</w:t>
            </w:r>
          </w:p>
          <w:p w14:paraId="1DFCAAEC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Ações voltadas para a comunidade acadêmica da UFDPar, com participação dos parceiros das atividades e comunidade externa em Parnaíba e outras regiões = 10</w:t>
            </w:r>
          </w:p>
        </w:tc>
        <w:tc>
          <w:tcPr>
            <w:tcW w:w="722" w:type="pct"/>
          </w:tcPr>
          <w:p w14:paraId="0135D709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3-7-10</w:t>
            </w:r>
          </w:p>
          <w:p w14:paraId="098729B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45CF4DB1" w14:textId="77777777" w:rsidTr="00E85C21">
        <w:trPr>
          <w:trHeight w:val="1542"/>
        </w:trPr>
        <w:tc>
          <w:tcPr>
            <w:tcW w:w="4278" w:type="pct"/>
            <w:tcBorders>
              <w:bottom w:val="single" w:sz="6" w:space="0" w:color="000000"/>
            </w:tcBorders>
          </w:tcPr>
          <w:p w14:paraId="2EF29180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lastRenderedPageBreak/>
              <w:t xml:space="preserve">6 - Nível de interação com parceiros </w:t>
            </w:r>
            <w:proofErr w:type="spellStart"/>
            <w:r w:rsidRPr="00966FC4">
              <w:rPr>
                <w:rFonts w:eastAsia="Arial"/>
                <w:b/>
                <w:color w:val="000000"/>
                <w:sz w:val="16"/>
              </w:rPr>
              <w:t>intra</w:t>
            </w:r>
            <w:proofErr w:type="spellEnd"/>
            <w:r w:rsidRPr="00966FC4">
              <w:rPr>
                <w:rFonts w:eastAsia="Arial"/>
                <w:b/>
                <w:color w:val="000000"/>
                <w:sz w:val="16"/>
              </w:rPr>
              <w:t xml:space="preserve"> e interinstitucionais.</w:t>
            </w:r>
          </w:p>
          <w:p w14:paraId="2AC49BC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firstLine="61"/>
              <w:rPr>
                <w:rFonts w:eastAsia="Arial MT"/>
                <w:color w:val="000000"/>
                <w:sz w:val="16"/>
              </w:rPr>
            </w:pPr>
            <w:r w:rsidRPr="00966FC4">
              <w:rPr>
                <w:rFonts w:eastAsia="Arial MT"/>
                <w:color w:val="000000"/>
                <w:sz w:val="16"/>
              </w:rPr>
              <w:t>Apresenta a parceria com órgãos municipais, estaduais e/ou federais); parceria com Organizações Sociais; parceria com escolas e universidades.</w:t>
            </w:r>
          </w:p>
          <w:p w14:paraId="5397F871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rFonts w:eastAsia="Arial"/>
                <w:b/>
                <w:color w:val="000000"/>
                <w:sz w:val="16"/>
              </w:rPr>
            </w:pPr>
            <w:proofErr w:type="gramStart"/>
            <w:r w:rsidRPr="00966FC4">
              <w:rPr>
                <w:rFonts w:eastAsia="Arial"/>
                <w:b/>
                <w:color w:val="000000"/>
                <w:sz w:val="16"/>
              </w:rPr>
              <w:t>Até Quinzenal</w:t>
            </w:r>
            <w:proofErr w:type="gramEnd"/>
            <w:r w:rsidRPr="00966FC4">
              <w:rPr>
                <w:rFonts w:eastAsia="Arial"/>
                <w:b/>
                <w:color w:val="000000"/>
                <w:sz w:val="16"/>
              </w:rPr>
              <w:t xml:space="preserve"> - 10 </w:t>
            </w:r>
          </w:p>
          <w:p w14:paraId="0822E786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Mensal - 7</w:t>
            </w:r>
          </w:p>
          <w:p w14:paraId="3E18C10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825" w:right="107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Bimestral - 5</w:t>
            </w:r>
          </w:p>
          <w:p w14:paraId="56B19F47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right="107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Semestral – 3</w:t>
            </w:r>
          </w:p>
        </w:tc>
        <w:tc>
          <w:tcPr>
            <w:tcW w:w="722" w:type="pct"/>
            <w:tcBorders>
              <w:bottom w:val="single" w:sz="6" w:space="0" w:color="000000"/>
            </w:tcBorders>
          </w:tcPr>
          <w:p w14:paraId="7738450D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3-5-7-10</w:t>
            </w:r>
          </w:p>
          <w:p w14:paraId="44BDF0E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55245606" w14:textId="77777777" w:rsidTr="00E85C21">
        <w:trPr>
          <w:trHeight w:val="1687"/>
        </w:trPr>
        <w:tc>
          <w:tcPr>
            <w:tcW w:w="4278" w:type="pct"/>
            <w:tcBorders>
              <w:top w:val="single" w:sz="6" w:space="0" w:color="000000"/>
            </w:tcBorders>
          </w:tcPr>
          <w:p w14:paraId="3CE46A99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"/>
                <w:b/>
                <w:color w:val="000000"/>
                <w:sz w:val="16"/>
                <w:u w:val="single"/>
              </w:rPr>
            </w:pPr>
            <w:r w:rsidRPr="00966FC4">
              <w:rPr>
                <w:rFonts w:eastAsia="Arial"/>
                <w:b/>
                <w:color w:val="000000"/>
                <w:sz w:val="16"/>
                <w:u w:val="single"/>
              </w:rPr>
              <w:t>Plano de trabalho do aluno</w:t>
            </w:r>
          </w:p>
          <w:p w14:paraId="21DA4D9F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7 - Coerência entre plano e projeto, e com a ação desenvolvida pelo bolsista.</w:t>
            </w:r>
          </w:p>
          <w:p w14:paraId="4EE07EAA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 MT"/>
                <w:color w:val="000000"/>
                <w:sz w:val="16"/>
              </w:rPr>
            </w:pPr>
            <w:r w:rsidRPr="00966FC4">
              <w:rPr>
                <w:rFonts w:eastAsia="Arial MT"/>
                <w:color w:val="000000"/>
                <w:sz w:val="16"/>
              </w:rPr>
              <w:t>Deve apresentar relação clara e coerente da justificativa, objetivos e metodologia do projeto com as atividades que serão desenvolvidas pelo bolsista:</w:t>
            </w:r>
          </w:p>
          <w:p w14:paraId="1568188D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"/>
              <w:jc w:val="right"/>
              <w:rPr>
                <w:rFonts w:eastAsia="Arial"/>
                <w:b/>
                <w:color w:val="000000"/>
                <w:sz w:val="16"/>
              </w:rPr>
            </w:pPr>
            <w:proofErr w:type="gramStart"/>
            <w:r w:rsidRPr="00966FC4">
              <w:rPr>
                <w:rFonts w:eastAsia="Arial"/>
                <w:b/>
                <w:color w:val="000000"/>
                <w:sz w:val="16"/>
              </w:rPr>
              <w:t>Não Atende</w:t>
            </w:r>
            <w:proofErr w:type="gramEnd"/>
            <w:r w:rsidRPr="00966FC4">
              <w:rPr>
                <w:rFonts w:eastAsia="Arial"/>
                <w:b/>
                <w:color w:val="000000"/>
                <w:sz w:val="16"/>
              </w:rPr>
              <w:t xml:space="preserve"> – 3</w:t>
            </w:r>
          </w:p>
          <w:p w14:paraId="55829610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 xml:space="preserve">Atende minimamente – 5 </w:t>
            </w:r>
          </w:p>
          <w:p w14:paraId="0DC3D089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Atende parcialmente - 7</w:t>
            </w:r>
          </w:p>
          <w:p w14:paraId="2C23E0C0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29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Atende totalmente – 10</w:t>
            </w:r>
          </w:p>
        </w:tc>
        <w:tc>
          <w:tcPr>
            <w:tcW w:w="722" w:type="pct"/>
            <w:tcBorders>
              <w:top w:val="single" w:sz="6" w:space="0" w:color="000000"/>
            </w:tcBorders>
          </w:tcPr>
          <w:p w14:paraId="7771FC70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00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3-5-7-10</w:t>
            </w:r>
          </w:p>
          <w:p w14:paraId="6AEE5AF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48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30190D40" w14:textId="77777777" w:rsidTr="00E85C21">
        <w:trPr>
          <w:trHeight w:val="1970"/>
        </w:trPr>
        <w:tc>
          <w:tcPr>
            <w:tcW w:w="4278" w:type="pct"/>
          </w:tcPr>
          <w:p w14:paraId="6E05091B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8 – Grau de interação do bolsista com a comunidade.</w:t>
            </w:r>
          </w:p>
          <w:p w14:paraId="523B4459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 w:right="99"/>
              <w:jc w:val="both"/>
              <w:rPr>
                <w:rFonts w:eastAsia="Arial MT"/>
                <w:color w:val="000000"/>
                <w:sz w:val="16"/>
              </w:rPr>
            </w:pPr>
            <w:r w:rsidRPr="00966FC4">
              <w:rPr>
                <w:rFonts w:eastAsia="Arial MT"/>
                <w:color w:val="000009"/>
                <w:sz w:val="16"/>
              </w:rPr>
              <w:t>Tem-se como princípio que, para a formação integral do aluno, é imprescindível sua efetiva interação com a sociedade, seja para se situar historicamente, para se identificar culturalmente ou para referenciar sua formação técnica com os problemas que um dia terá que se deparar. A extensão, entendida como prática acadêmica que interliga a universidade nas suas atividades de ensino e de pesquisa com as demandas sociais, possibilita a formação integral do profissional, e não apenas acadêmica.</w:t>
            </w:r>
          </w:p>
          <w:p w14:paraId="46B9E7C4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5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9"/>
                <w:sz w:val="16"/>
              </w:rPr>
              <w:t>Não há interação do bolsista com a comunidade = 3</w:t>
            </w:r>
          </w:p>
          <w:p w14:paraId="64FD377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5"/>
              <w:jc w:val="right"/>
              <w:rPr>
                <w:rFonts w:eastAsia="Arial"/>
                <w:b/>
                <w:color w:val="000009"/>
                <w:sz w:val="16"/>
              </w:rPr>
            </w:pPr>
            <w:r w:rsidRPr="00966FC4">
              <w:rPr>
                <w:rFonts w:eastAsia="Arial"/>
                <w:b/>
                <w:color w:val="000009"/>
                <w:sz w:val="16"/>
              </w:rPr>
              <w:t xml:space="preserve">Há uma interação indireta do bolsista com a comunidade = 7 </w:t>
            </w:r>
          </w:p>
          <w:p w14:paraId="61450A2C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5"/>
              <w:jc w:val="right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9"/>
                <w:sz w:val="16"/>
              </w:rPr>
              <w:t>Interação direta do bolsista com a comunidade = 10</w:t>
            </w:r>
          </w:p>
        </w:tc>
        <w:tc>
          <w:tcPr>
            <w:tcW w:w="722" w:type="pct"/>
          </w:tcPr>
          <w:p w14:paraId="30A41A32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99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3-7-10</w:t>
            </w:r>
          </w:p>
          <w:p w14:paraId="228DAC5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48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pontos</w:t>
            </w:r>
          </w:p>
        </w:tc>
      </w:tr>
      <w:tr w:rsidR="002F57FC" w:rsidRPr="00966FC4" w14:paraId="7A2F7A64" w14:textId="77777777" w:rsidTr="00E85C21">
        <w:trPr>
          <w:trHeight w:val="254"/>
        </w:trPr>
        <w:tc>
          <w:tcPr>
            <w:tcW w:w="4278" w:type="pct"/>
            <w:shd w:val="clear" w:color="auto" w:fill="BFBFBF" w:themeFill="background1" w:themeFillShade="BF"/>
          </w:tcPr>
          <w:p w14:paraId="4C1E17F5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/>
              <w:rPr>
                <w:rFonts w:eastAsia="Arial"/>
                <w:b/>
                <w:color w:val="000000"/>
                <w:sz w:val="16"/>
              </w:rPr>
            </w:pPr>
            <w:r w:rsidRPr="00966FC4">
              <w:rPr>
                <w:rFonts w:eastAsia="Arial"/>
                <w:b/>
                <w:color w:val="000000"/>
                <w:sz w:val="16"/>
              </w:rPr>
              <w:t>Total de pontos</w:t>
            </w:r>
          </w:p>
        </w:tc>
        <w:tc>
          <w:tcPr>
            <w:tcW w:w="722" w:type="pct"/>
            <w:shd w:val="clear" w:color="auto" w:fill="BFBFBF" w:themeFill="background1" w:themeFillShade="BF"/>
          </w:tcPr>
          <w:p w14:paraId="3989E553" w14:textId="77777777" w:rsidR="002F57FC" w:rsidRPr="00966FC4" w:rsidRDefault="002F57FC" w:rsidP="00E85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color w:val="000000"/>
                <w:sz w:val="16"/>
              </w:rPr>
            </w:pPr>
          </w:p>
        </w:tc>
      </w:tr>
    </w:tbl>
    <w:p w14:paraId="1359D6D7" w14:textId="7893A29C" w:rsidR="00847C0D" w:rsidRPr="00DD38A7" w:rsidRDefault="00847C0D" w:rsidP="00160D6D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  <w:bookmarkStart w:id="0" w:name="_GoBack"/>
      <w:bookmarkEnd w:id="0"/>
    </w:p>
    <w:sectPr w:rsidR="00847C0D" w:rsidRPr="00DD38A7" w:rsidSect="00BF451D">
      <w:headerReference w:type="default" r:id="rId7"/>
      <w:footerReference w:type="default" r:id="rId8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62A1" w14:textId="77777777" w:rsidR="00AD30F8" w:rsidRDefault="00AD30F8">
      <w:r>
        <w:separator/>
      </w:r>
    </w:p>
  </w:endnote>
  <w:endnote w:type="continuationSeparator" w:id="0">
    <w:p w14:paraId="2772CEE8" w14:textId="77777777" w:rsidR="00AD30F8" w:rsidRDefault="00AD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1D4518" w:rsidRDefault="007C459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</w:t>
    </w:r>
    <w:r w:rsidR="00591AB3" w:rsidRPr="001D4518">
      <w:rPr>
        <w:rFonts w:asciiTheme="minorHAnsi" w:hAnsiTheme="minorHAnsi" w:cstheme="minorHAnsi"/>
        <w:sz w:val="18"/>
        <w:szCs w:val="18"/>
      </w:rPr>
      <w:t>lloso – Av. São Sebastião, 2819.</w:t>
    </w:r>
    <w:r w:rsidRPr="001D4518">
      <w:rPr>
        <w:rFonts w:asciiTheme="minorHAnsi" w:hAnsiTheme="minorHAnsi" w:cstheme="minorHAnsi"/>
        <w:sz w:val="18"/>
        <w:szCs w:val="18"/>
      </w:rPr>
      <w:t xml:space="preserve"> Tel</w:t>
    </w:r>
    <w:r w:rsidR="00591AB3" w:rsidRPr="001D4518">
      <w:rPr>
        <w:rFonts w:asciiTheme="minorHAnsi" w:hAnsiTheme="minorHAnsi" w:cstheme="minorHAnsi"/>
        <w:sz w:val="18"/>
        <w:szCs w:val="18"/>
      </w:rPr>
      <w:t>.</w:t>
    </w:r>
    <w:r w:rsidRPr="001D4518">
      <w:rPr>
        <w:rFonts w:asciiTheme="minorHAnsi" w:hAnsiTheme="minorHAnsi" w:cstheme="minorHAnsi"/>
        <w:sz w:val="18"/>
        <w:szCs w:val="18"/>
      </w:rPr>
      <w:t xml:space="preserve"> (86)3323-5125  </w:t>
    </w:r>
    <w:r w:rsidR="00CB43CC"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1D4518" w:rsidRDefault="007C4590">
    <w:pPr>
      <w:pStyle w:val="Rodap"/>
      <w:jc w:val="center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F2E8F" w14:textId="77777777" w:rsidR="00AD30F8" w:rsidRDefault="00AD30F8">
      <w:r>
        <w:separator/>
      </w:r>
    </w:p>
  </w:footnote>
  <w:footnote w:type="continuationSeparator" w:id="0">
    <w:p w14:paraId="1BA0001D" w14:textId="77777777" w:rsidR="00AD30F8" w:rsidRDefault="00AD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135EB4DB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5679BF7" w14:textId="60C94D44" w:rsidR="005C1D45" w:rsidRPr="005C1D45" w:rsidRDefault="001E250F" w:rsidP="00E11BA2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42D6FE1D" w14:textId="77777777" w:rsidR="005C1D45" w:rsidRPr="005C1D45" w:rsidRDefault="005C1D45" w:rsidP="00E11BA2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4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92220"/>
    <w:rsid w:val="0009764D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79BC"/>
    <w:rsid w:val="00140929"/>
    <w:rsid w:val="001439C5"/>
    <w:rsid w:val="0014477C"/>
    <w:rsid w:val="00144AF9"/>
    <w:rsid w:val="00156418"/>
    <w:rsid w:val="0015647C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6AD1"/>
    <w:rsid w:val="0021189E"/>
    <w:rsid w:val="00215CF0"/>
    <w:rsid w:val="00216473"/>
    <w:rsid w:val="0023156A"/>
    <w:rsid w:val="00236C77"/>
    <w:rsid w:val="002469CD"/>
    <w:rsid w:val="00253CC4"/>
    <w:rsid w:val="00260E00"/>
    <w:rsid w:val="00265562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F3BF4"/>
    <w:rsid w:val="002F3C21"/>
    <w:rsid w:val="002F4E66"/>
    <w:rsid w:val="002F57FC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5C62"/>
    <w:rsid w:val="0049196B"/>
    <w:rsid w:val="00491B5A"/>
    <w:rsid w:val="004A5FA9"/>
    <w:rsid w:val="004A6C80"/>
    <w:rsid w:val="004B50C0"/>
    <w:rsid w:val="004C2B90"/>
    <w:rsid w:val="004C7070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63165"/>
    <w:rsid w:val="00665B27"/>
    <w:rsid w:val="006671C3"/>
    <w:rsid w:val="00672E20"/>
    <w:rsid w:val="0068288E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611E6"/>
    <w:rsid w:val="00864C9A"/>
    <w:rsid w:val="00864E3A"/>
    <w:rsid w:val="00867D7E"/>
    <w:rsid w:val="0087260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D30F8"/>
    <w:rsid w:val="00AE4E26"/>
    <w:rsid w:val="00AE5A17"/>
    <w:rsid w:val="00AF5D99"/>
    <w:rsid w:val="00B018DC"/>
    <w:rsid w:val="00B03939"/>
    <w:rsid w:val="00B03D99"/>
    <w:rsid w:val="00B05E66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6FBF"/>
    <w:rsid w:val="00B92FF2"/>
    <w:rsid w:val="00B952D0"/>
    <w:rsid w:val="00B9757E"/>
    <w:rsid w:val="00BB0220"/>
    <w:rsid w:val="00BB5F1C"/>
    <w:rsid w:val="00BC1CAE"/>
    <w:rsid w:val="00BD1122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278D5"/>
    <w:rsid w:val="00C3010C"/>
    <w:rsid w:val="00C35895"/>
    <w:rsid w:val="00C41845"/>
    <w:rsid w:val="00C41FA9"/>
    <w:rsid w:val="00C45FCA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92135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A2C70"/>
    <w:rsid w:val="00EA5DED"/>
    <w:rsid w:val="00EC08B2"/>
    <w:rsid w:val="00ED1E16"/>
    <w:rsid w:val="00ED4F58"/>
    <w:rsid w:val="00ED5D6C"/>
    <w:rsid w:val="00EF2F16"/>
    <w:rsid w:val="00EF6185"/>
    <w:rsid w:val="00EF621E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2022-04-26T18:16:00Z</dcterms:created>
  <dcterms:modified xsi:type="dcterms:W3CDTF">2022-04-26T18:16:00Z</dcterms:modified>
</cp:coreProperties>
</file>