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DE SELEÇÃO PARA PROFESSOR SUBSTITUTO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10/2021, de 24 de junho de 2021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– TABELA DE PONTOS PARA ANÁLISE DO CURRÍCULO</w:t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939480" cy="5295900"/>
            <wp:effectExtent b="0" l="0" r="0" t="0"/>
            <wp:docPr id="10737418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529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0" w:orient="portrait"/>
      <w:pgMar w:bottom="823.1102362204729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jc w:val="center"/>
      <w:rPr>
        <w:rFonts w:ascii="Cambria" w:cs="Cambria" w:eastAsia="Cambria" w:hAnsi="Cambria"/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WWNum1">
    <w:name w:val="WWNum1"/>
    <w:pPr>
      <w:numPr>
        <w:numId w:val="1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360" w:lineRule="auto"/>
      <w:ind w:left="0" w:right="0" w:firstLine="708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3"/>
      </w:numPr>
    </w:pPr>
  </w:style>
  <w:style w:type="numbering" w:styleId="WWNum4">
    <w:name w:val="WWNum4"/>
    <w:pPr>
      <w:numPr>
        <w:numId w:val="5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72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70exOJrOaDavV+UQ6CI2bjyMg==">AMUW2mXmADNtTh1+wEpcYcjO+ORj+j7Bis/FAaz1MLW1ZcDYaI2yM72VvySpDEsKQ2XBc9qYALsePVs8mHwXnKNMYsjxiUUm2RZyUlqBACIOzETcVTeEY/g=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